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Override PartName="/word/header2.xml" ContentType="application/vnd.openxmlformats-officedocument.wordprocessingml.header+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93C95" w:rsidR="00D71818" w:rsidP="00D56992" w:rsidRDefault="00D71818" w14:paraId="42C0283C" w14:textId="77777777">
      <w:pPr>
        <w:jc w:val="both"/>
        <w:rPr>
          <w:rFonts w:asciiTheme="minorBidi" w:hAnsiTheme="minorBidi"/>
        </w:rPr>
      </w:pPr>
    </w:p>
    <w:p w:rsidRPr="00793C95" w:rsidR="00854F34" w:rsidP="00D56992" w:rsidRDefault="00854F34" w14:paraId="60D452AC" w14:textId="77777777">
      <w:pPr>
        <w:jc w:val="both"/>
        <w:rPr>
          <w:rFonts w:asciiTheme="minorBidi" w:hAnsiTheme="minorBidi"/>
        </w:rPr>
      </w:pPr>
    </w:p>
    <w:p w:rsidR="007E0E32" w:rsidP="00D56992" w:rsidRDefault="007E0E32" w14:paraId="4C747842" w14:textId="77777777">
      <w:pPr>
        <w:pStyle w:val="NormalWeb"/>
        <w:jc w:val="both"/>
        <w:rPr>
          <w:rFonts w:asciiTheme="minorBidi" w:hAnsiTheme="minorBidi" w:cstheme="minorBidi"/>
          <w:b/>
          <w:sz w:val="44"/>
          <w:szCs w:val="44"/>
        </w:rPr>
      </w:pPr>
    </w:p>
    <w:p w:rsidR="007E0E32" w:rsidP="00D56992" w:rsidRDefault="007E0E32" w14:paraId="2B366BC5" w14:textId="77777777">
      <w:pPr>
        <w:pStyle w:val="NormalWeb"/>
        <w:jc w:val="both"/>
        <w:rPr>
          <w:rFonts w:asciiTheme="minorBidi" w:hAnsiTheme="minorBidi" w:cstheme="minorBidi"/>
          <w:b/>
          <w:sz w:val="44"/>
          <w:szCs w:val="44"/>
        </w:rPr>
      </w:pPr>
    </w:p>
    <w:p w:rsidR="007E0E32" w:rsidP="00D56992" w:rsidRDefault="007E0E32" w14:paraId="61D13EB4" w14:textId="77777777">
      <w:pPr>
        <w:pStyle w:val="NormalWeb"/>
        <w:jc w:val="both"/>
        <w:rPr>
          <w:rFonts w:asciiTheme="minorBidi" w:hAnsiTheme="minorBidi" w:cstheme="minorBidi"/>
          <w:b/>
          <w:sz w:val="44"/>
          <w:szCs w:val="44"/>
        </w:rPr>
      </w:pPr>
    </w:p>
    <w:p w:rsidR="007E0E32" w:rsidP="00D56992" w:rsidRDefault="007E0E32" w14:paraId="335F6CF0" w14:textId="77777777">
      <w:pPr>
        <w:pStyle w:val="NormalWeb"/>
        <w:jc w:val="both"/>
        <w:rPr>
          <w:rFonts w:asciiTheme="minorBidi" w:hAnsiTheme="minorBidi" w:cstheme="minorBidi"/>
          <w:b/>
          <w:sz w:val="44"/>
          <w:szCs w:val="44"/>
        </w:rPr>
      </w:pPr>
    </w:p>
    <w:p w:rsidRPr="006F16DE" w:rsidR="009E47C1" w:rsidP="009E47C1" w:rsidRDefault="009E47C1" w14:paraId="204E7198" w14:textId="52850403">
      <w:pPr>
        <w:pStyle w:val="NormalWeb"/>
        <w:jc w:val="center"/>
        <w:rPr>
          <w:rFonts w:asciiTheme="minorBidi" w:hAnsiTheme="minorBidi" w:cstheme="minorBidi"/>
          <w:b/>
          <w:sz w:val="44"/>
          <w:szCs w:val="44"/>
        </w:rPr>
      </w:pPr>
      <w:r>
        <w:rPr>
          <w:rFonts w:asciiTheme="minorBidi" w:hAnsiTheme="minorBidi" w:cstheme="minorBidi"/>
          <w:b/>
          <w:sz w:val="44"/>
          <w:szCs w:val="44"/>
        </w:rPr>
        <w:t>Enpara Bank</w:t>
      </w:r>
    </w:p>
    <w:p w:rsidRPr="006F16DE" w:rsidR="009E47C1" w:rsidP="009E47C1" w:rsidRDefault="009E47C1" w14:paraId="7C689BC6" w14:textId="77777777">
      <w:pPr>
        <w:pStyle w:val="NormalWeb"/>
        <w:jc w:val="center"/>
        <w:rPr>
          <w:rFonts w:asciiTheme="minorBidi" w:hAnsiTheme="minorBidi" w:cstheme="minorBidi"/>
          <w:b/>
          <w:sz w:val="44"/>
          <w:szCs w:val="44"/>
        </w:rPr>
      </w:pPr>
      <w:r w:rsidRPr="006F16DE">
        <w:rPr>
          <w:rFonts w:asciiTheme="minorBidi" w:hAnsiTheme="minorBidi" w:cstheme="minorBidi"/>
          <w:b/>
          <w:sz w:val="44"/>
          <w:szCs w:val="44"/>
        </w:rPr>
        <w:t>Financial Crime</w:t>
      </w:r>
    </w:p>
    <w:p w:rsidRPr="006F16DE" w:rsidR="009E47C1" w:rsidP="009E47C1" w:rsidRDefault="009E47C1" w14:paraId="542CE6AD" w14:textId="77777777">
      <w:pPr>
        <w:pStyle w:val="NormalWeb"/>
        <w:jc w:val="center"/>
        <w:rPr>
          <w:rFonts w:asciiTheme="minorBidi" w:hAnsiTheme="minorBidi" w:cstheme="minorBidi"/>
          <w:b/>
          <w:sz w:val="44"/>
          <w:szCs w:val="44"/>
        </w:rPr>
      </w:pPr>
      <w:r w:rsidRPr="006F16DE">
        <w:rPr>
          <w:rFonts w:asciiTheme="minorBidi" w:hAnsiTheme="minorBidi" w:cstheme="minorBidi"/>
          <w:b/>
          <w:sz w:val="44"/>
          <w:szCs w:val="44"/>
        </w:rPr>
        <w:t>Risk Appetite Statement</w:t>
      </w:r>
    </w:p>
    <w:p w:rsidR="00B14E53" w:rsidP="00863E11" w:rsidRDefault="00B14E53" w14:paraId="0E5D25FD" w14:textId="77777777">
      <w:pPr>
        <w:pStyle w:val="NormalWeb"/>
        <w:jc w:val="center"/>
        <w:rPr>
          <w:rFonts w:asciiTheme="minorBidi" w:hAnsiTheme="minorBidi"/>
          <w:b/>
          <w:sz w:val="44"/>
        </w:rPr>
      </w:pPr>
    </w:p>
    <w:p w:rsidR="00B14E53" w:rsidP="00863E11" w:rsidRDefault="00B14E53" w14:paraId="28ACA1B4" w14:textId="77777777">
      <w:pPr>
        <w:pStyle w:val="NormalWeb"/>
        <w:jc w:val="center"/>
        <w:rPr>
          <w:rFonts w:asciiTheme="minorBidi" w:hAnsiTheme="minorBidi"/>
          <w:b/>
          <w:sz w:val="44"/>
        </w:rPr>
      </w:pPr>
    </w:p>
    <w:p w:rsidR="00B14E53" w:rsidP="00863E11" w:rsidRDefault="00B14E53" w14:paraId="620A8754" w14:textId="77777777">
      <w:pPr>
        <w:pStyle w:val="NormalWeb"/>
        <w:jc w:val="center"/>
        <w:rPr>
          <w:rFonts w:asciiTheme="minorBidi" w:hAnsiTheme="minorBidi"/>
          <w:b/>
          <w:sz w:val="44"/>
        </w:rPr>
      </w:pPr>
    </w:p>
    <w:p w:rsidR="00B14E53" w:rsidP="00863E11" w:rsidRDefault="00B14E53" w14:paraId="37878574" w14:textId="77777777">
      <w:pPr>
        <w:pStyle w:val="NormalWeb"/>
        <w:jc w:val="center"/>
        <w:rPr>
          <w:rFonts w:asciiTheme="minorBidi" w:hAnsiTheme="minorBidi"/>
          <w:b/>
          <w:sz w:val="44"/>
        </w:rPr>
      </w:pPr>
    </w:p>
    <w:p w:rsidR="00B14E53" w:rsidP="00863E11" w:rsidRDefault="00B14E53" w14:paraId="509FCC5A" w14:textId="77777777">
      <w:pPr>
        <w:pStyle w:val="NormalWeb"/>
        <w:jc w:val="center"/>
        <w:rPr>
          <w:rFonts w:asciiTheme="minorBidi" w:hAnsiTheme="minorBidi"/>
          <w:b/>
          <w:sz w:val="44"/>
        </w:rPr>
      </w:pPr>
    </w:p>
    <w:p w:rsidR="00B14E53" w:rsidP="00863E11" w:rsidRDefault="00B14E53" w14:paraId="5672EFFC" w14:textId="77777777">
      <w:pPr>
        <w:pStyle w:val="NormalWeb"/>
        <w:jc w:val="center"/>
        <w:rPr>
          <w:rFonts w:asciiTheme="minorBidi" w:hAnsiTheme="minorBidi"/>
          <w:b/>
          <w:sz w:val="44"/>
        </w:rPr>
      </w:pPr>
    </w:p>
    <w:p w:rsidR="00B14E53" w:rsidP="00863E11" w:rsidRDefault="00B14E53" w14:paraId="0DD61C9C" w14:textId="77777777">
      <w:pPr>
        <w:pStyle w:val="NormalWeb"/>
        <w:jc w:val="center"/>
        <w:rPr>
          <w:rFonts w:asciiTheme="minorBidi" w:hAnsiTheme="minorBidi"/>
          <w:b/>
          <w:sz w:val="44"/>
        </w:rPr>
      </w:pPr>
    </w:p>
    <w:p w:rsidR="00B14E53" w:rsidP="00863E11" w:rsidRDefault="00B14E53" w14:paraId="29043FEA" w14:textId="77777777">
      <w:pPr>
        <w:pStyle w:val="NormalWeb"/>
        <w:jc w:val="center"/>
        <w:rPr>
          <w:rFonts w:asciiTheme="minorBidi" w:hAnsiTheme="minorBidi"/>
          <w:b/>
          <w:sz w:val="44"/>
        </w:rPr>
      </w:pPr>
    </w:p>
    <w:sdt>
      <w:sdtPr>
        <w:rPr>
          <w:rFonts w:asciiTheme="minorHAnsi" w:hAnsiTheme="minorHAnsi" w:eastAsiaTheme="minorHAnsi" w:cstheme="minorBidi"/>
          <w:color w:val="auto"/>
          <w:sz w:val="22"/>
          <w:szCs w:val="22"/>
        </w:rPr>
        <w:id w:val="30458135"/>
        <w:docPartObj>
          <w:docPartGallery w:val="Table of Contents"/>
          <w:docPartUnique/>
        </w:docPartObj>
      </w:sdtPr>
      <w:sdtEndPr>
        <w:rPr>
          <w:b/>
          <w:bCs/>
          <w:noProof/>
        </w:rPr>
      </w:sdtEndPr>
      <w:sdtContent>
        <w:p w:rsidRPr="00B14E53" w:rsidR="00B14E53" w:rsidRDefault="009E47C1" w14:paraId="27335232" w14:textId="046B4146">
          <w:pPr>
            <w:pStyle w:val="TOCHeading"/>
            <w:rPr>
              <w:rFonts w:ascii="Arial" w:hAnsi="Arial" w:cs="Arial"/>
              <w:sz w:val="22"/>
              <w:szCs w:val="22"/>
            </w:rPr>
          </w:pPr>
          <w:r>
            <w:rPr>
              <w:rFonts w:ascii="Arial" w:hAnsi="Arial" w:cs="Arial"/>
              <w:sz w:val="22"/>
              <w:szCs w:val="22"/>
            </w:rPr>
            <w:t>Table of Contents</w:t>
          </w:r>
        </w:p>
        <w:p w:rsidRPr="00B14E53" w:rsidR="00B14E53" w:rsidRDefault="00B14E53" w14:paraId="4DCDDEE8" w14:textId="21B3CDE8">
          <w:pPr>
            <w:pStyle w:val="TOC1"/>
            <w:tabs>
              <w:tab w:val="right" w:leader="dot" w:pos="9350"/>
            </w:tabs>
            <w:rPr>
              <w:rFonts w:ascii="Arial" w:hAnsi="Arial" w:cs="Arial" w:eastAsiaTheme="minorEastAsia"/>
              <w:noProof/>
              <w:kern w:val="2"/>
              <w:lang w:eastAsia="tr-TR"/>
              <w14:ligatures w14:val="standardContextual"/>
            </w:rPr>
          </w:pPr>
          <w:r w:rsidRPr="00B14E53">
            <w:rPr>
              <w:rFonts w:ascii="Arial" w:hAnsi="Arial" w:cs="Arial"/>
            </w:rPr>
            <w:fldChar w:fldCharType="begin"/>
          </w:r>
          <w:r w:rsidRPr="00B14E53">
            <w:rPr>
              <w:rFonts w:ascii="Arial" w:hAnsi="Arial" w:cs="Arial"/>
            </w:rPr>
            <w:instrText xml:space="preserve"> TOC \o "1-3" \h \z \u </w:instrText>
          </w:r>
          <w:r w:rsidRPr="00B14E53">
            <w:rPr>
              <w:rFonts w:ascii="Arial" w:hAnsi="Arial" w:cs="Arial"/>
            </w:rPr>
            <w:fldChar w:fldCharType="separate"/>
          </w:r>
          <w:hyperlink w:history="1" w:anchor="_Toc208216195">
            <w:r w:rsidRPr="00B14E53">
              <w:rPr>
                <w:rStyle w:val="Hyperlink"/>
                <w:rFonts w:ascii="Arial" w:hAnsi="Arial" w:cs="Arial"/>
                <w:noProof/>
              </w:rPr>
              <w:t xml:space="preserve">1. </w:t>
            </w:r>
            <w:r w:rsidRPr="00776538" w:rsidR="00776538">
              <w:rPr>
                <w:rStyle w:val="Hyperlink"/>
                <w:rFonts w:ascii="Arial" w:hAnsi="Arial" w:cs="Arial"/>
                <w:noProof/>
              </w:rPr>
              <w:t>Introduction</w:t>
            </w:r>
            <w:r w:rsidRPr="00B14E53">
              <w:rPr>
                <w:rFonts w:ascii="Arial" w:hAnsi="Arial" w:cs="Arial"/>
                <w:noProof/>
                <w:webHidden/>
              </w:rPr>
              <w:tab/>
            </w:r>
            <w:r w:rsidRPr="00B14E53">
              <w:rPr>
                <w:rFonts w:ascii="Arial" w:hAnsi="Arial" w:cs="Arial"/>
                <w:noProof/>
                <w:webHidden/>
              </w:rPr>
              <w:fldChar w:fldCharType="begin"/>
            </w:r>
            <w:r w:rsidRPr="00B14E53">
              <w:rPr>
                <w:rFonts w:ascii="Arial" w:hAnsi="Arial" w:cs="Arial"/>
                <w:noProof/>
                <w:webHidden/>
              </w:rPr>
              <w:instrText xml:space="preserve"> PAGEREF _Toc208216195 \h </w:instrText>
            </w:r>
            <w:r w:rsidRPr="00B14E53">
              <w:rPr>
                <w:rFonts w:ascii="Arial" w:hAnsi="Arial" w:cs="Arial"/>
                <w:noProof/>
                <w:webHidden/>
              </w:rPr>
            </w:r>
            <w:r w:rsidRPr="00B14E53">
              <w:rPr>
                <w:rFonts w:ascii="Arial" w:hAnsi="Arial" w:cs="Arial"/>
                <w:noProof/>
                <w:webHidden/>
              </w:rPr>
              <w:fldChar w:fldCharType="separate"/>
            </w:r>
            <w:r w:rsidRPr="00B14E53">
              <w:rPr>
                <w:rFonts w:ascii="Arial" w:hAnsi="Arial" w:cs="Arial"/>
                <w:noProof/>
                <w:webHidden/>
              </w:rPr>
              <w:t>3</w:t>
            </w:r>
            <w:r w:rsidRPr="00B14E53">
              <w:rPr>
                <w:rFonts w:ascii="Arial" w:hAnsi="Arial" w:cs="Arial"/>
                <w:noProof/>
                <w:webHidden/>
              </w:rPr>
              <w:fldChar w:fldCharType="end"/>
            </w:r>
          </w:hyperlink>
        </w:p>
        <w:p w:rsidRPr="00B14E53" w:rsidR="00B14E53" w:rsidRDefault="00CF750D" w14:paraId="6DED5BDF" w14:textId="09EF0EF5">
          <w:pPr>
            <w:pStyle w:val="TOC1"/>
            <w:tabs>
              <w:tab w:val="right" w:leader="dot" w:pos="9350"/>
            </w:tabs>
            <w:rPr>
              <w:rFonts w:ascii="Arial" w:hAnsi="Arial" w:cs="Arial" w:eastAsiaTheme="minorEastAsia"/>
              <w:noProof/>
              <w:kern w:val="2"/>
              <w:lang w:eastAsia="tr-TR"/>
              <w14:ligatures w14:val="standardContextual"/>
            </w:rPr>
          </w:pPr>
          <w:hyperlink w:history="1" w:anchor="_Toc208216196">
            <w:r w:rsidRPr="00B14E53" w:rsidR="00B14E53">
              <w:rPr>
                <w:rStyle w:val="Hyperlink"/>
                <w:rFonts w:ascii="Arial" w:hAnsi="Arial" w:cs="Arial"/>
                <w:noProof/>
              </w:rPr>
              <w:t xml:space="preserve">2. </w:t>
            </w:r>
            <w:r w:rsidRPr="00776538" w:rsidR="00776538">
              <w:rPr>
                <w:rStyle w:val="Hyperlink"/>
                <w:rFonts w:ascii="Arial" w:hAnsi="Arial" w:cs="Arial"/>
                <w:noProof/>
              </w:rPr>
              <w:t>Scope</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_Toc208216196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3</w:t>
            </w:r>
            <w:r w:rsidRPr="00B14E53" w:rsidR="00B14E53">
              <w:rPr>
                <w:rFonts w:ascii="Arial" w:hAnsi="Arial" w:cs="Arial"/>
                <w:noProof/>
                <w:webHidden/>
              </w:rPr>
              <w:fldChar w:fldCharType="end"/>
            </w:r>
          </w:hyperlink>
        </w:p>
        <w:p w:rsidRPr="00B14E53" w:rsidR="00B14E53" w:rsidRDefault="00CF750D" w14:paraId="45EA61F0" w14:textId="331D8008">
          <w:pPr>
            <w:pStyle w:val="TOC1"/>
            <w:tabs>
              <w:tab w:val="right" w:leader="dot" w:pos="9350"/>
            </w:tabs>
            <w:rPr>
              <w:rFonts w:ascii="Arial" w:hAnsi="Arial" w:cs="Arial" w:eastAsiaTheme="minorEastAsia"/>
              <w:noProof/>
              <w:kern w:val="2"/>
              <w:lang w:eastAsia="tr-TR"/>
              <w14:ligatures w14:val="standardContextual"/>
            </w:rPr>
          </w:pPr>
          <w:hyperlink w:history="1" w:anchor="_Toc208216197">
            <w:r w:rsidRPr="00B14E53" w:rsidR="00B14E53">
              <w:rPr>
                <w:rStyle w:val="Hyperlink"/>
                <w:rFonts w:ascii="Arial" w:hAnsi="Arial" w:cs="Arial"/>
                <w:noProof/>
              </w:rPr>
              <w:t xml:space="preserve">3. </w:t>
            </w:r>
            <w:r w:rsidRPr="00776538" w:rsidR="00776538">
              <w:rPr>
                <w:rStyle w:val="Hyperlink"/>
                <w:rFonts w:ascii="Arial" w:hAnsi="Arial" w:cs="Arial"/>
                <w:bCs/>
                <w:noProof/>
              </w:rPr>
              <w:t>Objective</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_Toc208216197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3</w:t>
            </w:r>
            <w:r w:rsidRPr="00B14E53" w:rsidR="00B14E53">
              <w:rPr>
                <w:rFonts w:ascii="Arial" w:hAnsi="Arial" w:cs="Arial"/>
                <w:noProof/>
                <w:webHidden/>
              </w:rPr>
              <w:fldChar w:fldCharType="end"/>
            </w:r>
          </w:hyperlink>
        </w:p>
        <w:p w:rsidRPr="00B14E53" w:rsidR="00B14E53" w:rsidRDefault="00CF750D" w14:paraId="4BBC0BA1" w14:textId="0DC58123">
          <w:pPr>
            <w:pStyle w:val="TOC1"/>
            <w:tabs>
              <w:tab w:val="right" w:leader="dot" w:pos="9350"/>
            </w:tabs>
            <w:rPr>
              <w:rFonts w:ascii="Arial" w:hAnsi="Arial" w:cs="Arial" w:eastAsiaTheme="minorEastAsia"/>
              <w:noProof/>
              <w:kern w:val="2"/>
              <w:lang w:eastAsia="tr-TR"/>
              <w14:ligatures w14:val="standardContextual"/>
            </w:rPr>
          </w:pPr>
          <w:hyperlink w:history="1" w:anchor="_Toc208216198">
            <w:r w:rsidRPr="00B14E53" w:rsidR="00B14E53">
              <w:rPr>
                <w:rStyle w:val="Hyperlink"/>
                <w:rFonts w:ascii="Arial" w:hAnsi="Arial" w:cs="Arial"/>
                <w:noProof/>
              </w:rPr>
              <w:t xml:space="preserve">4. </w:t>
            </w:r>
            <w:r w:rsidRPr="00776538" w:rsidR="00776538">
              <w:rPr>
                <w:rStyle w:val="Hyperlink"/>
                <w:rFonts w:ascii="Arial" w:hAnsi="Arial" w:cs="Arial"/>
                <w:noProof/>
              </w:rPr>
              <w:t>Financial Crime Risk Appetite Assertions</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_Toc208216198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3</w:t>
            </w:r>
            <w:r w:rsidRPr="00B14E53" w:rsidR="00B14E53">
              <w:rPr>
                <w:rFonts w:ascii="Arial" w:hAnsi="Arial" w:cs="Arial"/>
                <w:noProof/>
                <w:webHidden/>
              </w:rPr>
              <w:fldChar w:fldCharType="end"/>
            </w:r>
          </w:hyperlink>
        </w:p>
        <w:p w:rsidRPr="00B14E53" w:rsidR="00B14E53" w:rsidRDefault="00CF750D" w14:paraId="0816F85B" w14:textId="6CF7C11A">
          <w:pPr>
            <w:pStyle w:val="TOC1"/>
            <w:tabs>
              <w:tab w:val="right" w:leader="dot" w:pos="9350"/>
            </w:tabs>
            <w:rPr>
              <w:rFonts w:ascii="Arial" w:hAnsi="Arial" w:cs="Arial" w:eastAsiaTheme="minorEastAsia"/>
              <w:noProof/>
              <w:kern w:val="2"/>
              <w:lang w:eastAsia="tr-TR"/>
              <w14:ligatures w14:val="standardContextual"/>
            </w:rPr>
          </w:pPr>
          <w:hyperlink w:history="1" w:anchor="_Toc208216199">
            <w:r w:rsidRPr="00B14E53" w:rsidR="00B14E53">
              <w:rPr>
                <w:rStyle w:val="Hyperlink"/>
                <w:rFonts w:ascii="Arial" w:hAnsi="Arial" w:cs="Arial"/>
                <w:noProof/>
              </w:rPr>
              <w:t xml:space="preserve">5. </w:t>
            </w:r>
            <w:r w:rsidRPr="00776538" w:rsidR="00776538">
              <w:rPr>
                <w:rStyle w:val="Hyperlink"/>
                <w:rFonts w:ascii="Arial" w:hAnsi="Arial" w:cs="Arial"/>
                <w:noProof/>
              </w:rPr>
              <w:t>Financial Crime Risk Appetite</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_Toc208216199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6</w:t>
            </w:r>
            <w:r w:rsidRPr="00B14E53" w:rsidR="00B14E53">
              <w:rPr>
                <w:rFonts w:ascii="Arial" w:hAnsi="Arial" w:cs="Arial"/>
                <w:noProof/>
                <w:webHidden/>
              </w:rPr>
              <w:fldChar w:fldCharType="end"/>
            </w:r>
          </w:hyperlink>
        </w:p>
        <w:p w:rsidRPr="00B14E53" w:rsidR="00B14E53" w:rsidRDefault="00CF750D" w14:paraId="74427EDE" w14:textId="77B7F4C8">
          <w:pPr>
            <w:pStyle w:val="TOC1"/>
            <w:tabs>
              <w:tab w:val="right" w:leader="dot" w:pos="9350"/>
            </w:tabs>
            <w:rPr>
              <w:rFonts w:ascii="Arial" w:hAnsi="Arial" w:cs="Arial" w:eastAsiaTheme="minorEastAsia"/>
              <w:noProof/>
              <w:kern w:val="2"/>
              <w:lang w:eastAsia="tr-TR"/>
              <w14:ligatures w14:val="standardContextual"/>
            </w:rPr>
          </w:pPr>
          <w:hyperlink w:history="1" w:anchor="_Toc208216200">
            <w:r w:rsidRPr="00B14E53" w:rsidR="00B14E53">
              <w:rPr>
                <w:rStyle w:val="Hyperlink"/>
                <w:rFonts w:ascii="Arial" w:hAnsi="Arial" w:cs="Arial"/>
                <w:noProof/>
              </w:rPr>
              <w:t>6. Limit</w:t>
            </w:r>
            <w:r w:rsidR="00776538">
              <w:rPr>
                <w:rStyle w:val="Hyperlink"/>
                <w:rFonts w:ascii="Arial" w:hAnsi="Arial" w:cs="Arial"/>
                <w:noProof/>
              </w:rPr>
              <w:t>s</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_Toc208216200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7</w:t>
            </w:r>
            <w:r w:rsidRPr="00B14E53" w:rsidR="00B14E53">
              <w:rPr>
                <w:rFonts w:ascii="Arial" w:hAnsi="Arial" w:cs="Arial"/>
                <w:noProof/>
                <w:webHidden/>
              </w:rPr>
              <w:fldChar w:fldCharType="end"/>
            </w:r>
          </w:hyperlink>
        </w:p>
        <w:p w:rsidRPr="00B14E53" w:rsidR="00B14E53" w:rsidRDefault="00CF750D" w14:paraId="3609F340" w14:textId="6736A40D">
          <w:pPr>
            <w:pStyle w:val="TOC1"/>
            <w:tabs>
              <w:tab w:val="right" w:leader="dot" w:pos="9350"/>
            </w:tabs>
            <w:rPr>
              <w:rFonts w:ascii="Arial" w:hAnsi="Arial" w:cs="Arial" w:eastAsiaTheme="minorEastAsia"/>
              <w:noProof/>
              <w:kern w:val="2"/>
              <w:lang w:eastAsia="tr-TR"/>
              <w14:ligatures w14:val="standardContextual"/>
            </w:rPr>
          </w:pPr>
          <w:hyperlink w:history="1" w:anchor="_Toc208216201">
            <w:r w:rsidRPr="00B14E53" w:rsidR="00B14E53">
              <w:rPr>
                <w:rStyle w:val="Hyperlink"/>
                <w:rFonts w:ascii="Arial" w:hAnsi="Arial" w:cs="Arial"/>
                <w:noProof/>
              </w:rPr>
              <w:t xml:space="preserve">7. </w:t>
            </w:r>
            <w:r w:rsidRPr="00776538" w:rsidR="00776538">
              <w:rPr>
                <w:rStyle w:val="Hyperlink"/>
                <w:rFonts w:ascii="Arial" w:hAnsi="Arial" w:cs="Arial"/>
                <w:noProof/>
              </w:rPr>
              <w:t>Governance</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_Toc208216201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7</w:t>
            </w:r>
            <w:r w:rsidRPr="00B14E53" w:rsidR="00B14E53">
              <w:rPr>
                <w:rFonts w:ascii="Arial" w:hAnsi="Arial" w:cs="Arial"/>
                <w:noProof/>
                <w:webHidden/>
              </w:rPr>
              <w:fldChar w:fldCharType="end"/>
            </w:r>
          </w:hyperlink>
        </w:p>
        <w:p w:rsidRPr="00B14E53" w:rsidR="00B14E53" w:rsidRDefault="00CF750D" w14:paraId="36C5A79B" w14:textId="36406941">
          <w:pPr>
            <w:pStyle w:val="TOC1"/>
            <w:tabs>
              <w:tab w:val="right" w:leader="dot" w:pos="9350"/>
            </w:tabs>
            <w:rPr>
              <w:rFonts w:ascii="Arial" w:hAnsi="Arial" w:cs="Arial" w:eastAsiaTheme="minorEastAsia"/>
              <w:noProof/>
              <w:kern w:val="2"/>
              <w:lang w:eastAsia="tr-TR"/>
              <w14:ligatures w14:val="standardContextual"/>
            </w:rPr>
          </w:pPr>
          <w:hyperlink w:history="1" w:anchor="_Toc208216202">
            <w:r w:rsidRPr="00B14E53" w:rsidR="00B14E53">
              <w:rPr>
                <w:rStyle w:val="Hyperlink"/>
                <w:rFonts w:ascii="Arial" w:hAnsi="Arial" w:cs="Arial"/>
                <w:noProof/>
              </w:rPr>
              <w:t xml:space="preserve">8. </w:t>
            </w:r>
            <w:r w:rsidRPr="00776538" w:rsidR="00776538">
              <w:rPr>
                <w:rStyle w:val="Hyperlink"/>
                <w:rFonts w:ascii="Arial" w:hAnsi="Arial" w:cs="Arial"/>
                <w:noProof/>
              </w:rPr>
              <w:t>Continuous Improvement</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_Toc208216202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7</w:t>
            </w:r>
            <w:r w:rsidRPr="00B14E53" w:rsidR="00B14E53">
              <w:rPr>
                <w:rFonts w:ascii="Arial" w:hAnsi="Arial" w:cs="Arial"/>
                <w:noProof/>
                <w:webHidden/>
              </w:rPr>
              <w:fldChar w:fldCharType="end"/>
            </w:r>
          </w:hyperlink>
        </w:p>
        <w:p w:rsidRPr="00B14E53" w:rsidR="00B14E53" w:rsidRDefault="00CF750D" w14:paraId="57BBB87A" w14:textId="6012B6FB">
          <w:pPr>
            <w:pStyle w:val="TOC1"/>
            <w:tabs>
              <w:tab w:val="right" w:leader="dot" w:pos="9350"/>
            </w:tabs>
            <w:rPr>
              <w:rFonts w:ascii="Arial" w:hAnsi="Arial" w:cs="Arial" w:eastAsiaTheme="minorEastAsia"/>
              <w:noProof/>
              <w:kern w:val="2"/>
              <w:lang w:eastAsia="tr-TR"/>
              <w14:ligatures w14:val="standardContextual"/>
            </w:rPr>
          </w:pPr>
          <w:hyperlink w:history="1" w:anchor="_Toc208216203">
            <w:r w:rsidRPr="00B14E53" w:rsidR="00B14E53">
              <w:rPr>
                <w:rStyle w:val="Hyperlink"/>
                <w:rFonts w:ascii="Arial" w:hAnsi="Arial" w:cs="Arial"/>
                <w:noProof/>
              </w:rPr>
              <w:t xml:space="preserve">9. </w:t>
            </w:r>
            <w:r w:rsidRPr="00776538" w:rsidR="00776538">
              <w:rPr>
                <w:rStyle w:val="Hyperlink"/>
                <w:rFonts w:ascii="Arial" w:hAnsi="Arial" w:cs="Arial"/>
                <w:noProof/>
              </w:rPr>
              <w:t>Conclusion</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_Toc208216203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7</w:t>
            </w:r>
            <w:r w:rsidRPr="00B14E53" w:rsidR="00B14E53">
              <w:rPr>
                <w:rFonts w:ascii="Arial" w:hAnsi="Arial" w:cs="Arial"/>
                <w:noProof/>
                <w:webHidden/>
              </w:rPr>
              <w:fldChar w:fldCharType="end"/>
            </w:r>
          </w:hyperlink>
        </w:p>
        <w:p w:rsidRPr="00B14E53" w:rsidR="00B14E53" w:rsidRDefault="00CF750D" w14:paraId="57A111FC" w14:textId="4902A941">
          <w:pPr>
            <w:pStyle w:val="TOC1"/>
            <w:tabs>
              <w:tab w:val="right" w:leader="dot" w:pos="9350"/>
            </w:tabs>
            <w:rPr>
              <w:rFonts w:ascii="Arial" w:hAnsi="Arial" w:cs="Arial" w:eastAsiaTheme="minorEastAsia"/>
              <w:noProof/>
              <w:kern w:val="2"/>
              <w:lang w:eastAsia="tr-TR"/>
              <w14:ligatures w14:val="standardContextual"/>
            </w:rPr>
          </w:pPr>
          <w:hyperlink w:history="1" w:anchor="_Toc208216204">
            <w:r w:rsidR="00776538">
              <w:rPr>
                <w:rStyle w:val="Hyperlink"/>
                <w:rFonts w:ascii="Arial" w:hAnsi="Arial" w:cs="Arial"/>
                <w:noProof/>
              </w:rPr>
              <w:t>A</w:t>
            </w:r>
            <w:r w:rsidRPr="00776538" w:rsidR="00776538">
              <w:rPr>
                <w:rStyle w:val="Hyperlink"/>
                <w:rFonts w:ascii="Arial" w:hAnsi="Arial" w:cs="Arial"/>
                <w:noProof/>
              </w:rPr>
              <w:t>ppendix I</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_Toc208216204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8</w:t>
            </w:r>
            <w:r w:rsidRPr="00B14E53" w:rsidR="00B14E53">
              <w:rPr>
                <w:rFonts w:ascii="Arial" w:hAnsi="Arial" w:cs="Arial"/>
                <w:noProof/>
                <w:webHidden/>
              </w:rPr>
              <w:fldChar w:fldCharType="end"/>
            </w:r>
          </w:hyperlink>
        </w:p>
        <w:p w:rsidRPr="00B14E53" w:rsidR="00B14E53" w:rsidRDefault="00CF750D" w14:paraId="593BDF71" w14:textId="0623F5F0">
          <w:pPr>
            <w:pStyle w:val="TOC1"/>
            <w:tabs>
              <w:tab w:val="right" w:leader="dot" w:pos="9350"/>
            </w:tabs>
            <w:rPr>
              <w:rFonts w:ascii="Arial" w:hAnsi="Arial" w:cs="Arial" w:eastAsiaTheme="minorEastAsia"/>
              <w:noProof/>
              <w:kern w:val="2"/>
              <w:lang w:eastAsia="tr-TR"/>
              <w14:ligatures w14:val="standardContextual"/>
            </w:rPr>
          </w:pPr>
          <w:hyperlink w:history="1" w:anchor="_Toc208216205">
            <w:r w:rsidR="00776538">
              <w:rPr>
                <w:rStyle w:val="Hyperlink"/>
                <w:rFonts w:ascii="Arial" w:hAnsi="Arial" w:cs="Arial"/>
                <w:noProof/>
              </w:rPr>
              <w:t>A</w:t>
            </w:r>
            <w:r w:rsidRPr="00776538" w:rsidR="00776538">
              <w:rPr>
                <w:rStyle w:val="Hyperlink"/>
                <w:rFonts w:ascii="Arial" w:hAnsi="Arial" w:cs="Arial"/>
                <w:noProof/>
              </w:rPr>
              <w:t>ppendix II</w:t>
            </w:r>
            <w:r w:rsidRPr="00B14E53" w:rsidR="00B14E53">
              <w:rPr>
                <w:rFonts w:ascii="Arial" w:hAnsi="Arial" w:cs="Arial"/>
                <w:noProof/>
                <w:webHidden/>
              </w:rPr>
              <w:tab/>
            </w:r>
            <w:r w:rsidRPr="00B14E53" w:rsidR="00B14E53">
              <w:rPr>
                <w:rFonts w:ascii="Arial" w:hAnsi="Arial" w:cs="Arial"/>
                <w:noProof/>
                <w:webHidden/>
              </w:rPr>
              <w:fldChar w:fldCharType="begin"/>
            </w:r>
            <w:r w:rsidRPr="00B14E53" w:rsidR="00B14E53">
              <w:rPr>
                <w:rFonts w:ascii="Arial" w:hAnsi="Arial" w:cs="Arial"/>
                <w:noProof/>
                <w:webHidden/>
              </w:rPr>
              <w:instrText xml:space="preserve"> PAGEREF _Toc208216205 \h </w:instrText>
            </w:r>
            <w:r w:rsidRPr="00B14E53" w:rsidR="00B14E53">
              <w:rPr>
                <w:rFonts w:ascii="Arial" w:hAnsi="Arial" w:cs="Arial"/>
                <w:noProof/>
                <w:webHidden/>
              </w:rPr>
            </w:r>
            <w:r w:rsidRPr="00B14E53" w:rsidR="00B14E53">
              <w:rPr>
                <w:rFonts w:ascii="Arial" w:hAnsi="Arial" w:cs="Arial"/>
                <w:noProof/>
                <w:webHidden/>
              </w:rPr>
              <w:fldChar w:fldCharType="separate"/>
            </w:r>
            <w:r w:rsidRPr="00B14E53" w:rsidR="00B14E53">
              <w:rPr>
                <w:rFonts w:ascii="Arial" w:hAnsi="Arial" w:cs="Arial"/>
                <w:noProof/>
                <w:webHidden/>
              </w:rPr>
              <w:t>9</w:t>
            </w:r>
            <w:r w:rsidRPr="00B14E53" w:rsidR="00B14E53">
              <w:rPr>
                <w:rFonts w:ascii="Arial" w:hAnsi="Arial" w:cs="Arial"/>
                <w:noProof/>
                <w:webHidden/>
              </w:rPr>
              <w:fldChar w:fldCharType="end"/>
            </w:r>
          </w:hyperlink>
        </w:p>
        <w:p w:rsidR="00B14E53" w:rsidRDefault="00B14E53" w14:paraId="76E51F9A" w14:textId="45AC6768">
          <w:r w:rsidRPr="00B14E53">
            <w:rPr>
              <w:rFonts w:ascii="Arial" w:hAnsi="Arial" w:cs="Arial"/>
              <w:b/>
              <w:bCs/>
              <w:noProof/>
            </w:rPr>
            <w:fldChar w:fldCharType="end"/>
          </w:r>
        </w:p>
      </w:sdtContent>
    </w:sdt>
    <w:p w:rsidRPr="00F96D68" w:rsidR="00B14E53" w:rsidP="00863E11" w:rsidRDefault="00B14E53" w14:paraId="6CFC541A" w14:textId="77777777">
      <w:pPr>
        <w:pStyle w:val="NormalWeb"/>
        <w:jc w:val="center"/>
        <w:rPr>
          <w:rFonts w:asciiTheme="minorBidi" w:hAnsiTheme="minorBidi" w:cstheme="minorBidi"/>
          <w:b/>
          <w:sz w:val="44"/>
          <w:szCs w:val="44"/>
        </w:rPr>
      </w:pPr>
    </w:p>
    <w:p w:rsidRPr="00F96D68" w:rsidR="007E0E32" w:rsidP="00D56992" w:rsidRDefault="007E0E32" w14:paraId="0A3026EA" w14:textId="77777777">
      <w:pPr>
        <w:pStyle w:val="NormalWeb"/>
        <w:jc w:val="both"/>
        <w:rPr>
          <w:rFonts w:asciiTheme="minorBidi" w:hAnsiTheme="minorBidi" w:cstheme="minorBidi"/>
          <w:b/>
          <w:sz w:val="44"/>
          <w:szCs w:val="44"/>
        </w:rPr>
      </w:pPr>
    </w:p>
    <w:p w:rsidRPr="00F96D68" w:rsidR="007E0E32" w:rsidP="00D56992" w:rsidRDefault="007E0E32" w14:paraId="7451A104" w14:textId="77777777">
      <w:pPr>
        <w:pStyle w:val="NormalWeb"/>
        <w:jc w:val="both"/>
        <w:rPr>
          <w:rFonts w:asciiTheme="minorBidi" w:hAnsiTheme="minorBidi" w:cstheme="minorBidi"/>
          <w:b/>
          <w:sz w:val="44"/>
          <w:szCs w:val="44"/>
        </w:rPr>
      </w:pPr>
    </w:p>
    <w:p w:rsidRPr="00F96D68" w:rsidR="007E0E32" w:rsidP="00D56992" w:rsidRDefault="007E0E32" w14:paraId="7A9B17A0" w14:textId="77777777">
      <w:pPr>
        <w:pStyle w:val="NormalWeb"/>
        <w:jc w:val="both"/>
        <w:rPr>
          <w:rFonts w:asciiTheme="minorBidi" w:hAnsiTheme="minorBidi" w:cstheme="minorBidi"/>
          <w:b/>
          <w:sz w:val="44"/>
          <w:szCs w:val="44"/>
        </w:rPr>
      </w:pPr>
    </w:p>
    <w:p w:rsidRPr="00F96D68" w:rsidR="007E0E32" w:rsidP="00D56992" w:rsidRDefault="007E0E32" w14:paraId="2AE65B06" w14:textId="77777777">
      <w:pPr>
        <w:pStyle w:val="NormalWeb"/>
        <w:jc w:val="both"/>
        <w:rPr>
          <w:rFonts w:asciiTheme="minorBidi" w:hAnsiTheme="minorBidi" w:cstheme="minorBidi"/>
          <w:b/>
          <w:sz w:val="44"/>
          <w:szCs w:val="44"/>
        </w:rPr>
      </w:pPr>
    </w:p>
    <w:p w:rsidRPr="00F96D68" w:rsidR="007E0E32" w:rsidP="00D56992" w:rsidRDefault="007E0E32" w14:paraId="623EBF6F" w14:textId="77777777">
      <w:pPr>
        <w:pStyle w:val="NormalWeb"/>
        <w:jc w:val="both"/>
        <w:rPr>
          <w:rFonts w:asciiTheme="minorBidi" w:hAnsiTheme="minorBidi" w:cstheme="minorBidi"/>
          <w:b/>
          <w:sz w:val="44"/>
          <w:szCs w:val="44"/>
        </w:rPr>
      </w:pPr>
    </w:p>
    <w:p w:rsidRPr="00F96D68" w:rsidR="007E0E32" w:rsidP="00D56992" w:rsidRDefault="007E0E32" w14:paraId="1C42DF64" w14:textId="77777777">
      <w:pPr>
        <w:pStyle w:val="NormalWeb"/>
        <w:jc w:val="both"/>
        <w:rPr>
          <w:rFonts w:asciiTheme="minorBidi" w:hAnsiTheme="minorBidi" w:cstheme="minorBidi"/>
          <w:b/>
          <w:sz w:val="44"/>
          <w:szCs w:val="44"/>
        </w:rPr>
      </w:pPr>
    </w:p>
    <w:p w:rsidRPr="00F96D68" w:rsidR="007E0E32" w:rsidP="00D56992" w:rsidRDefault="007E0E32" w14:paraId="4C80BF8B" w14:textId="77777777">
      <w:pPr>
        <w:pStyle w:val="NormalWeb"/>
        <w:jc w:val="both"/>
        <w:rPr>
          <w:rFonts w:asciiTheme="minorBidi" w:hAnsiTheme="minorBidi" w:cstheme="minorBidi"/>
          <w:b/>
          <w:sz w:val="44"/>
          <w:szCs w:val="44"/>
        </w:rPr>
      </w:pPr>
    </w:p>
    <w:p w:rsidRPr="00F96D68" w:rsidR="007E0E32" w:rsidP="00D56992" w:rsidRDefault="007E0E32" w14:paraId="7C8A36AA" w14:textId="77777777">
      <w:pPr>
        <w:jc w:val="both"/>
        <w:rPr>
          <w:rFonts w:asciiTheme="minorBidi" w:hAnsiTheme="minorBidi"/>
        </w:rPr>
      </w:pPr>
    </w:p>
    <w:p w:rsidR="003B27CA" w:rsidP="00D56992" w:rsidRDefault="003B27CA" w14:paraId="62BDCA64" w14:textId="77777777">
      <w:pPr>
        <w:jc w:val="both"/>
        <w:rPr>
          <w:rFonts w:asciiTheme="minorBidi" w:hAnsiTheme="minorBidi"/>
        </w:rPr>
      </w:pPr>
    </w:p>
    <w:p w:rsidRPr="00F96D68" w:rsidR="003871E8" w:rsidP="00D56992" w:rsidRDefault="003871E8" w14:paraId="2B8D8204" w14:textId="77777777">
      <w:pPr>
        <w:jc w:val="both"/>
        <w:rPr>
          <w:rFonts w:asciiTheme="minorBidi" w:hAnsiTheme="minorBidi"/>
        </w:rPr>
      </w:pPr>
    </w:p>
    <w:p w:rsidRPr="006F16DE" w:rsidR="00776538" w:rsidP="00776538" w:rsidRDefault="00776538" w14:paraId="7F1E9A04" w14:textId="77777777">
      <w:pPr>
        <w:pStyle w:val="Heading1"/>
      </w:pPr>
      <w:bookmarkStart w:name="_Toc204172510" w:id="0"/>
      <w:bookmarkStart w:name="_Toc199430632" w:id="1"/>
      <w:bookmarkStart w:name="_Toc208216195" w:id="2"/>
      <w:r w:rsidRPr="006F16DE">
        <w:lastRenderedPageBreak/>
        <w:t>1. Introduction</w:t>
      </w:r>
      <w:bookmarkEnd w:id="0"/>
    </w:p>
    <w:bookmarkEnd w:id="1"/>
    <w:bookmarkEnd w:id="2"/>
    <w:p w:rsidRPr="00F96D68" w:rsidR="00854F34" w:rsidP="00D56992" w:rsidRDefault="00776538" w14:paraId="7657FEE5" w14:textId="2799F3CB">
      <w:pPr>
        <w:spacing w:after="200" w:line="276" w:lineRule="auto"/>
        <w:jc w:val="both"/>
        <w:rPr>
          <w:rFonts w:asciiTheme="minorBidi" w:hAnsiTheme="minorBidi"/>
          <w:sz w:val="20"/>
          <w:szCs w:val="20"/>
        </w:rPr>
      </w:pPr>
      <w:r w:rsidRPr="009C4E8D">
        <w:rPr>
          <w:rFonts w:asciiTheme="minorBidi" w:hAnsiTheme="minorBidi"/>
          <w:sz w:val="20"/>
        </w:rPr>
        <w:t>Enpara Bank</w:t>
      </w:r>
      <w:r w:rsidRPr="00776538">
        <w:rPr>
          <w:rFonts w:asciiTheme="minorBidi" w:hAnsiTheme="minorBidi"/>
          <w:sz w:val="20"/>
        </w:rPr>
        <w:t xml:space="preserve"> is unwavering in its commitment to uphold the highest standards of integrity and compliance across all its operations. This Financial Crime Risk Appetite Statement (FCRAS) delineates our comprehensive approach to preventing and mitigating financial crime, encompassing money laundering, terrorist financing, fraud, bribery, and corruption. This statement is designed to safeguard the </w:t>
      </w:r>
      <w:r>
        <w:rPr>
          <w:rFonts w:asciiTheme="minorBidi" w:hAnsiTheme="minorBidi"/>
          <w:sz w:val="20"/>
        </w:rPr>
        <w:t>Enpara Bank</w:t>
      </w:r>
      <w:r w:rsidRPr="00776538">
        <w:rPr>
          <w:rFonts w:asciiTheme="minorBidi" w:hAnsiTheme="minorBidi"/>
          <w:sz w:val="20"/>
        </w:rPr>
        <w:t>, its customers, shareholders, employees, and the communities we serve. This statement is an overview of our internally established Anti-Money Laundering and Combating Terrorist Financing Group Compliance policy and the related instructions.</w:t>
      </w:r>
    </w:p>
    <w:p w:rsidRPr="006F16DE" w:rsidR="00776538" w:rsidP="00776538" w:rsidRDefault="00776538" w14:paraId="5B8F7EE3" w14:textId="77777777">
      <w:pPr>
        <w:pStyle w:val="Heading1"/>
      </w:pPr>
      <w:bookmarkStart w:name="_Toc204172511" w:id="3"/>
      <w:bookmarkStart w:name="_Toc199430633" w:id="4"/>
      <w:bookmarkStart w:name="_Toc208216196" w:id="5"/>
      <w:r w:rsidRPr="006F16DE">
        <w:t>2. Scope</w:t>
      </w:r>
      <w:bookmarkEnd w:id="3"/>
    </w:p>
    <w:bookmarkEnd w:id="4"/>
    <w:bookmarkEnd w:id="5"/>
    <w:p w:rsidRPr="00F96D68" w:rsidR="007D3F77" w:rsidP="00D56992" w:rsidRDefault="00776538" w14:paraId="63E93B21" w14:textId="3962AE2B">
      <w:pPr>
        <w:spacing w:after="200" w:line="276" w:lineRule="auto"/>
        <w:jc w:val="both"/>
        <w:rPr>
          <w:rFonts w:asciiTheme="minorBidi" w:hAnsiTheme="minorBidi"/>
          <w:sz w:val="20"/>
          <w:szCs w:val="20"/>
        </w:rPr>
      </w:pPr>
      <w:r w:rsidRPr="006F16DE">
        <w:rPr>
          <w:rFonts w:asciiTheme="minorBidi" w:hAnsiTheme="minorBidi"/>
          <w:sz w:val="20"/>
          <w:szCs w:val="20"/>
        </w:rPr>
        <w:t xml:space="preserve">This Statement is applicable to </w:t>
      </w:r>
      <w:r>
        <w:rPr>
          <w:rFonts w:asciiTheme="minorBidi" w:hAnsiTheme="minorBidi"/>
          <w:sz w:val="20"/>
          <w:szCs w:val="20"/>
        </w:rPr>
        <w:t>Enpara Bank</w:t>
      </w:r>
      <w:r w:rsidRPr="006F16DE">
        <w:rPr>
          <w:rFonts w:asciiTheme="minorBidi" w:hAnsiTheme="minorBidi"/>
          <w:sz w:val="20"/>
          <w:szCs w:val="20"/>
        </w:rPr>
        <w:t xml:space="preserve">, including contractors, and third parties acting on behalf of the financial institution. It encompasses all business activities and transactions conducted by </w:t>
      </w:r>
      <w:r>
        <w:rPr>
          <w:rFonts w:asciiTheme="minorBidi" w:hAnsiTheme="minorBidi"/>
          <w:sz w:val="20"/>
          <w:szCs w:val="20"/>
        </w:rPr>
        <w:t>Enpara Bank</w:t>
      </w:r>
      <w:r w:rsidRPr="006F16DE">
        <w:rPr>
          <w:rFonts w:asciiTheme="minorBidi" w:hAnsiTheme="minorBidi"/>
          <w:sz w:val="20"/>
          <w:szCs w:val="20"/>
        </w:rPr>
        <w:t xml:space="preserve"> globally, ensuring a unified and robust approach to financial crime prevention.</w:t>
      </w:r>
    </w:p>
    <w:p w:rsidRPr="006F16DE" w:rsidR="009375D6" w:rsidP="009375D6" w:rsidRDefault="009375D6" w14:paraId="4E9B90D2" w14:textId="77777777">
      <w:pPr>
        <w:pStyle w:val="Heading1"/>
      </w:pPr>
      <w:bookmarkStart w:name="_Toc204172512" w:id="6"/>
      <w:bookmarkStart w:name="_Toc199430634" w:id="7"/>
      <w:bookmarkStart w:name="_Toc208216197" w:id="8"/>
      <w:r w:rsidRPr="006F16DE">
        <w:t>3. Objective</w:t>
      </w:r>
      <w:bookmarkEnd w:id="6"/>
    </w:p>
    <w:bookmarkEnd w:id="7"/>
    <w:bookmarkEnd w:id="8"/>
    <w:p w:rsidRPr="00F96D68" w:rsidR="009375D6" w:rsidP="00D56992" w:rsidRDefault="009375D6" w14:paraId="4880FCF5" w14:textId="718B5BDA">
      <w:pPr>
        <w:spacing w:after="200" w:line="276" w:lineRule="auto"/>
        <w:jc w:val="both"/>
        <w:rPr>
          <w:rFonts w:asciiTheme="minorBidi" w:hAnsiTheme="minorBidi"/>
          <w:sz w:val="20"/>
          <w:szCs w:val="20"/>
        </w:rPr>
      </w:pPr>
      <w:r w:rsidRPr="006F16DE">
        <w:rPr>
          <w:rFonts w:asciiTheme="minorBidi" w:hAnsiTheme="minorBidi"/>
          <w:sz w:val="20"/>
          <w:szCs w:val="20"/>
        </w:rPr>
        <w:t xml:space="preserve">The objective of FCRAS is to guide </w:t>
      </w:r>
      <w:r w:rsidR="004C1CB6">
        <w:rPr>
          <w:rFonts w:asciiTheme="minorBidi" w:hAnsiTheme="minorBidi"/>
          <w:sz w:val="20"/>
          <w:szCs w:val="20"/>
        </w:rPr>
        <w:t>Enpara Bank</w:t>
      </w:r>
      <w:r w:rsidRPr="006F16DE">
        <w:rPr>
          <w:rFonts w:asciiTheme="minorBidi" w:hAnsiTheme="minorBidi"/>
          <w:sz w:val="20"/>
          <w:szCs w:val="20"/>
        </w:rPr>
        <w:t xml:space="preserve"> in maintaining regulatory compliance, safeguarding its reputation, and managing financial crime risks effectively. </w:t>
      </w:r>
      <w:r w:rsidRPr="006F16DE">
        <w:rPr>
          <w:rFonts w:asciiTheme="minorBidi" w:hAnsiTheme="minorBidi"/>
          <w:sz w:val="20"/>
          <w:szCs w:val="20"/>
          <w:lang w:val="en-AU"/>
        </w:rPr>
        <w:t xml:space="preserve">The FCRAS </w:t>
      </w:r>
      <w:r w:rsidRPr="006F16DE">
        <w:rPr>
          <w:rFonts w:asciiTheme="minorBidi" w:hAnsiTheme="minorBidi"/>
          <w:sz w:val="20"/>
          <w:szCs w:val="20"/>
        </w:rPr>
        <w:t xml:space="preserve">outlines </w:t>
      </w:r>
      <w:r w:rsidR="004C1CB6">
        <w:rPr>
          <w:rFonts w:asciiTheme="minorBidi" w:hAnsiTheme="minorBidi"/>
          <w:sz w:val="20"/>
          <w:szCs w:val="20"/>
        </w:rPr>
        <w:t>Enpara Bank</w:t>
      </w:r>
      <w:r w:rsidRPr="006F16DE">
        <w:rPr>
          <w:rFonts w:asciiTheme="minorBidi" w:hAnsiTheme="minorBidi"/>
          <w:sz w:val="20"/>
          <w:szCs w:val="20"/>
        </w:rPr>
        <w:t>’s tolerance for exposure to financial crimes including, money laundering, terrorist financing, fraud, bribery, corruption, sanctions, WMD, and other illegal financial activities.</w:t>
      </w:r>
    </w:p>
    <w:p w:rsidRPr="006F16DE" w:rsidR="004C1CB6" w:rsidP="004C1CB6" w:rsidRDefault="004C1CB6" w14:paraId="4AC2462D" w14:textId="77777777">
      <w:pPr>
        <w:pStyle w:val="Heading1"/>
      </w:pPr>
      <w:bookmarkStart w:name="_Toc204172513" w:id="9"/>
      <w:bookmarkStart w:name="_Toc199430635" w:id="10"/>
      <w:bookmarkStart w:name="_Toc208216198" w:id="11"/>
      <w:r w:rsidRPr="006F16DE">
        <w:t>4. Financial Crime Risk Appetite Assertions</w:t>
      </w:r>
      <w:bookmarkEnd w:id="9"/>
    </w:p>
    <w:p w:rsidRPr="006F16DE" w:rsidR="004C1CB6" w:rsidP="004C1CB6" w:rsidRDefault="004C1CB6" w14:paraId="1A0B0F2E"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Compliance with Laws and Regulations</w:t>
      </w:r>
    </w:p>
    <w:bookmarkEnd w:id="10"/>
    <w:bookmarkEnd w:id="11"/>
    <w:p w:rsidRPr="00F96D68" w:rsidR="004C1CB6" w:rsidP="00D56992" w:rsidRDefault="003871E8" w14:paraId="42DF6AEF" w14:textId="7B0E2754">
      <w:pPr>
        <w:spacing w:after="200" w:line="276" w:lineRule="auto"/>
        <w:jc w:val="both"/>
        <w:rPr>
          <w:rFonts w:asciiTheme="minorBidi" w:hAnsiTheme="minorBidi"/>
          <w:sz w:val="20"/>
          <w:szCs w:val="20"/>
        </w:rPr>
      </w:pPr>
      <w:r>
        <w:rPr>
          <w:rFonts w:asciiTheme="minorBidi" w:hAnsiTheme="minorBidi"/>
          <w:sz w:val="20"/>
        </w:rPr>
        <w:t>Enpara Bank</w:t>
      </w:r>
      <w:r w:rsidRPr="00F96D68" w:rsidR="007D3F77">
        <w:rPr>
          <w:rFonts w:asciiTheme="minorBidi" w:hAnsiTheme="minorBidi"/>
          <w:sz w:val="20"/>
        </w:rPr>
        <w:t xml:space="preserve">, </w:t>
      </w:r>
      <w:r w:rsidRPr="006F16DE" w:rsidR="004C1CB6">
        <w:rPr>
          <w:rFonts w:asciiTheme="minorBidi" w:hAnsiTheme="minorBidi"/>
          <w:sz w:val="20"/>
          <w:szCs w:val="20"/>
        </w:rPr>
        <w:t>strictly adheres to all applicable financial crime laws and regulations in the jurisdictions where we operate. This includes compliance with Anti-Money</w:t>
      </w:r>
      <w:r w:rsidRPr="006F16DE" w:rsidR="004C1CB6">
        <w:rPr>
          <w:rFonts w:hint="cs" w:asciiTheme="minorBidi" w:hAnsiTheme="minorBidi"/>
          <w:sz w:val="20"/>
          <w:szCs w:val="20"/>
          <w:rtl/>
        </w:rPr>
        <w:t xml:space="preserve"> </w:t>
      </w:r>
      <w:r w:rsidRPr="006F16DE" w:rsidR="004C1CB6">
        <w:rPr>
          <w:rFonts w:asciiTheme="minorBidi" w:hAnsiTheme="minorBidi"/>
          <w:sz w:val="20"/>
          <w:szCs w:val="20"/>
        </w:rPr>
        <w:t>Laundering (AML), Counter</w:t>
      </w:r>
      <w:r w:rsidRPr="006F16DE" w:rsidR="004C1CB6">
        <w:rPr>
          <w:rFonts w:hint="cs" w:asciiTheme="minorBidi" w:hAnsiTheme="minorBidi"/>
          <w:sz w:val="20"/>
          <w:szCs w:val="20"/>
          <w:rtl/>
        </w:rPr>
        <w:t xml:space="preserve"> </w:t>
      </w:r>
      <w:r w:rsidRPr="006F16DE" w:rsidR="004C1CB6">
        <w:rPr>
          <w:rFonts w:asciiTheme="minorBidi" w:hAnsiTheme="minorBidi"/>
          <w:sz w:val="20"/>
          <w:szCs w:val="20"/>
        </w:rPr>
        <w:t>Terrorist Financing (CTF), Sanctions, Proliferation of Weapons of Mass Destruction (WMD), Fraud and Anti-Bribery and Corruption (ABC) laws. Our commitment to legal compliance is unwavering, and we continuously monitor regulatory evolving requirements to ensure our policies remain effective and up-to-date.</w:t>
      </w:r>
    </w:p>
    <w:p w:rsidRPr="006F16DE" w:rsidR="003249ED" w:rsidP="003249ED" w:rsidRDefault="003249ED" w14:paraId="33566F45"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Customer Due Diligence (CDD)</w:t>
      </w:r>
    </w:p>
    <w:p w:rsidRPr="006F16DE" w:rsidR="003249ED" w:rsidP="003249ED" w:rsidRDefault="003249ED" w14:paraId="4870BED1" w14:textId="129E646F">
      <w:pPr>
        <w:jc w:val="both"/>
        <w:rPr>
          <w:rFonts w:asciiTheme="minorBidi" w:hAnsiTheme="minorBidi"/>
          <w:sz w:val="20"/>
          <w:szCs w:val="20"/>
        </w:rPr>
      </w:pPr>
      <w:r>
        <w:rPr>
          <w:rFonts w:asciiTheme="minorBidi" w:hAnsiTheme="minorBidi"/>
          <w:sz w:val="20"/>
        </w:rPr>
        <w:t>Enpara</w:t>
      </w:r>
      <w:r w:rsidRPr="003871E8">
        <w:rPr>
          <w:rFonts w:asciiTheme="minorBidi" w:hAnsiTheme="minorBidi"/>
          <w:sz w:val="20"/>
        </w:rPr>
        <w:t xml:space="preserve"> Bank</w:t>
      </w:r>
      <w:r w:rsidRPr="006F16DE">
        <w:rPr>
          <w:rFonts w:asciiTheme="minorBidi" w:hAnsiTheme="minorBidi"/>
          <w:sz w:val="20"/>
          <w:szCs w:val="20"/>
        </w:rPr>
        <w:t xml:space="preserve"> conducts Customer Due Diligence (CDD) on all customers, in accordance with the requirements set forth in our formal policies and instructions. This process ensures that customer verification is based on reliable, independent source documents, data and information, so that the beneficial owner is identified. Additionally, ongoing due diligence is conducted on businesses. </w:t>
      </w:r>
    </w:p>
    <w:p w:rsidRPr="00F96D68" w:rsidR="003249ED" w:rsidP="004578D0" w:rsidRDefault="003249ED" w14:paraId="67084E9A" w14:textId="070C289D">
      <w:pPr>
        <w:jc w:val="both"/>
        <w:rPr>
          <w:rFonts w:asciiTheme="minorBidi" w:hAnsiTheme="minorBidi"/>
          <w:sz w:val="20"/>
          <w:szCs w:val="20"/>
        </w:rPr>
      </w:pPr>
      <w:r w:rsidRPr="006F16DE">
        <w:rPr>
          <w:rFonts w:asciiTheme="minorBidi" w:hAnsiTheme="minorBidi"/>
          <w:sz w:val="20"/>
          <w:szCs w:val="20"/>
        </w:rPr>
        <w:t xml:space="preserve">Additionally, </w:t>
      </w:r>
      <w:r>
        <w:rPr>
          <w:rFonts w:asciiTheme="minorBidi" w:hAnsiTheme="minorBidi"/>
          <w:sz w:val="20"/>
          <w:szCs w:val="20"/>
        </w:rPr>
        <w:t>Enpara Bank</w:t>
      </w:r>
      <w:r w:rsidRPr="006F16DE">
        <w:rPr>
          <w:rFonts w:asciiTheme="minorBidi" w:hAnsiTheme="minorBidi"/>
          <w:sz w:val="20"/>
          <w:szCs w:val="20"/>
        </w:rPr>
        <w:t xml:space="preserve"> employs Enhanced Due Diligence (EDD) measures for high-risk customers. This process encompasses the identification and assessment based on four main components of a Risk Based Approach (RBA), which includes among others risks relating to; customer, product, delivery channel and jurisdiction/country risk, followed by periodic review and ongoing monitoring.</w:t>
      </w:r>
    </w:p>
    <w:p w:rsidRPr="006F16DE" w:rsidR="003249ED" w:rsidP="003249ED" w:rsidRDefault="003249ED" w14:paraId="1CFADBD6"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Transaction Monitoring</w:t>
      </w:r>
    </w:p>
    <w:p w:rsidRPr="00F96D68" w:rsidR="003249ED" w:rsidP="0041523F" w:rsidRDefault="003871E8" w14:paraId="299C0EF8" w14:textId="3CD2D86C">
      <w:pPr>
        <w:spacing w:after="200" w:line="276" w:lineRule="auto"/>
        <w:jc w:val="both"/>
        <w:rPr>
          <w:rFonts w:asciiTheme="minorBidi" w:hAnsiTheme="minorBidi"/>
          <w:sz w:val="20"/>
          <w:szCs w:val="20"/>
        </w:rPr>
      </w:pPr>
      <w:r>
        <w:rPr>
          <w:rFonts w:asciiTheme="minorBidi" w:hAnsiTheme="minorBidi"/>
          <w:sz w:val="20"/>
        </w:rPr>
        <w:t>Enpara Bank</w:t>
      </w:r>
      <w:r w:rsidRPr="00F96D68" w:rsidR="0041523F">
        <w:rPr>
          <w:rFonts w:asciiTheme="minorBidi" w:hAnsiTheme="minorBidi"/>
          <w:sz w:val="20"/>
        </w:rPr>
        <w:t xml:space="preserve">, </w:t>
      </w:r>
      <w:r w:rsidRPr="006F16DE" w:rsidR="003249ED">
        <w:rPr>
          <w:rFonts w:asciiTheme="minorBidi" w:hAnsiTheme="minorBidi"/>
          <w:sz w:val="20"/>
          <w:szCs w:val="20"/>
        </w:rPr>
        <w:t>implemented an advanced systems and processes to monitor customer transactions for suspicious activity. These systems are designed to detect unusual patterns and behaviors that may indicate financial crime. Any suspicious transactions are promptly investigated and reported to the relevant regulatory authorities ensuring that we take swift and decisive action against potential threats.</w:t>
      </w:r>
    </w:p>
    <w:p w:rsidRPr="006F16DE" w:rsidR="001A2C8D" w:rsidP="001A2C8D" w:rsidRDefault="001A2C8D" w14:paraId="6AE0C7D6"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Training and Awareness</w:t>
      </w:r>
    </w:p>
    <w:p w:rsidRPr="00F96D68" w:rsidR="001A2C8D" w:rsidP="00D56992" w:rsidRDefault="0094181D" w14:paraId="6264A06A" w14:textId="589EF46F">
      <w:pPr>
        <w:spacing w:after="200" w:line="276" w:lineRule="auto"/>
        <w:jc w:val="both"/>
        <w:rPr>
          <w:rFonts w:asciiTheme="minorBidi" w:hAnsiTheme="minorBidi"/>
          <w:sz w:val="20"/>
          <w:szCs w:val="20"/>
        </w:rPr>
      </w:pPr>
      <w:r>
        <w:rPr>
          <w:rFonts w:asciiTheme="minorBidi" w:hAnsiTheme="minorBidi"/>
          <w:sz w:val="20"/>
        </w:rPr>
        <w:t>Enpara Bank</w:t>
      </w:r>
      <w:r w:rsidRPr="00F96D68" w:rsidR="007D3F77">
        <w:rPr>
          <w:rFonts w:asciiTheme="minorBidi" w:hAnsiTheme="minorBidi"/>
          <w:sz w:val="20"/>
        </w:rPr>
        <w:t xml:space="preserve">, </w:t>
      </w:r>
      <w:r w:rsidRPr="006F16DE" w:rsidR="001A2C8D">
        <w:rPr>
          <w:rFonts w:asciiTheme="minorBidi" w:hAnsiTheme="minorBidi"/>
          <w:sz w:val="20"/>
          <w:szCs w:val="20"/>
        </w:rPr>
        <w:t xml:space="preserve">provides regular training to all employees on financial crime prevention, ensuring they understand their responsibilities and the importance of compliance. Our training programs are designed to </w:t>
      </w:r>
      <w:r w:rsidRPr="006F16DE" w:rsidR="001A2C8D">
        <w:rPr>
          <w:rFonts w:asciiTheme="minorBidi" w:hAnsiTheme="minorBidi"/>
          <w:sz w:val="20"/>
          <w:szCs w:val="20"/>
        </w:rPr>
        <w:lastRenderedPageBreak/>
        <w:t>keep employees informed about the latest trends and techniques in financial crime, as well as the specific policies and procedures they must follow.</w:t>
      </w:r>
    </w:p>
    <w:p w:rsidRPr="006F16DE" w:rsidR="001A2C8D" w:rsidP="001A2C8D" w:rsidRDefault="001A2C8D" w14:paraId="35138C02"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Internal Controls and Procedures</w:t>
      </w:r>
    </w:p>
    <w:p w:rsidRPr="00F96D68" w:rsidR="001A2C8D" w:rsidP="00D56992" w:rsidRDefault="0094181D" w14:paraId="5ABD2BD7" w14:textId="50ACB6B9">
      <w:pPr>
        <w:spacing w:after="200" w:line="276" w:lineRule="auto"/>
        <w:jc w:val="both"/>
        <w:rPr>
          <w:rFonts w:asciiTheme="minorBidi" w:hAnsiTheme="minorBidi"/>
          <w:sz w:val="20"/>
          <w:szCs w:val="20"/>
        </w:rPr>
      </w:pPr>
      <w:r>
        <w:rPr>
          <w:rFonts w:asciiTheme="minorBidi" w:hAnsiTheme="minorBidi"/>
          <w:sz w:val="20"/>
        </w:rPr>
        <w:t>Enpara Bank</w:t>
      </w:r>
      <w:r w:rsidRPr="00F96D68" w:rsidR="007D3F77">
        <w:rPr>
          <w:rFonts w:asciiTheme="minorBidi" w:hAnsiTheme="minorBidi"/>
          <w:sz w:val="20"/>
        </w:rPr>
        <w:t xml:space="preserve">, </w:t>
      </w:r>
      <w:r w:rsidRPr="006F16DE" w:rsidR="001A2C8D">
        <w:rPr>
          <w:rFonts w:asciiTheme="minorBidi" w:hAnsiTheme="minorBidi"/>
          <w:sz w:val="20"/>
          <w:szCs w:val="20"/>
        </w:rPr>
        <w:t>maintain strong internal controls and procedures to detect and prevent financial crime. This includes segregation of duties, regular audits, and independent testing of our financial crime controls. Our internal controls are designed to create multiple layers of defense against financial crime, ensuring that no single point of failure can compromise our security.</w:t>
      </w:r>
    </w:p>
    <w:p w:rsidRPr="006F16DE" w:rsidR="00B520A7" w:rsidP="00B520A7" w:rsidRDefault="00B520A7" w14:paraId="0BD256C0"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Reporting and Escalation</w:t>
      </w:r>
    </w:p>
    <w:p w:rsidRPr="00F96D68" w:rsidR="00B520A7" w:rsidP="00D56992" w:rsidRDefault="00B520A7" w14:paraId="68AD1C06" w14:textId="26A253C3">
      <w:pPr>
        <w:spacing w:after="200" w:line="276" w:lineRule="auto"/>
        <w:jc w:val="both"/>
        <w:rPr>
          <w:rFonts w:asciiTheme="minorBidi" w:hAnsiTheme="minorBidi"/>
          <w:sz w:val="20"/>
          <w:szCs w:val="20"/>
        </w:rPr>
      </w:pPr>
      <w:r w:rsidRPr="006F16DE">
        <w:rPr>
          <w:rFonts w:asciiTheme="minorBidi" w:hAnsiTheme="minorBidi"/>
          <w:sz w:val="20"/>
          <w:szCs w:val="20"/>
        </w:rPr>
        <w:t xml:space="preserve">All employees are required to report any suspected financial crime activity. </w:t>
      </w:r>
      <w:r w:rsidR="00115BDA">
        <w:rPr>
          <w:rFonts w:asciiTheme="minorBidi" w:hAnsiTheme="minorBidi"/>
          <w:sz w:val="20"/>
        </w:rPr>
        <w:t>Enpara Bank</w:t>
      </w:r>
      <w:r w:rsidRPr="006F16DE" w:rsidR="00115BDA">
        <w:rPr>
          <w:rFonts w:asciiTheme="minorBidi" w:hAnsiTheme="minorBidi"/>
          <w:sz w:val="20"/>
          <w:szCs w:val="20"/>
        </w:rPr>
        <w:t xml:space="preserve"> </w:t>
      </w:r>
      <w:r w:rsidRPr="006F16DE">
        <w:rPr>
          <w:rFonts w:asciiTheme="minorBidi" w:hAnsiTheme="minorBidi"/>
          <w:sz w:val="20"/>
          <w:szCs w:val="20"/>
        </w:rPr>
        <w:t>has established clear reporting lines and escalation procedures to ensure a timely and effective response to potential financial crime incidents. Our reporting mechanisms are designed to facilitate the swift identification and resolution of issues, minimizing the impact of financial crime on our operations.</w:t>
      </w:r>
    </w:p>
    <w:p w:rsidRPr="006F16DE" w:rsidR="003F6D7A" w:rsidP="003F6D7A" w:rsidRDefault="003F6D7A" w14:paraId="28DA570E"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People</w:t>
      </w:r>
    </w:p>
    <w:p w:rsidRPr="006F16DE" w:rsidR="003F6D7A" w:rsidP="003F6D7A" w:rsidRDefault="003F6D7A" w14:paraId="193F048A" w14:textId="40000A91">
      <w:pPr>
        <w:spacing w:after="200" w:line="276" w:lineRule="auto"/>
        <w:jc w:val="both"/>
        <w:rPr>
          <w:rFonts w:asciiTheme="minorBidi" w:hAnsiTheme="minorBidi"/>
          <w:sz w:val="20"/>
          <w:szCs w:val="20"/>
        </w:rPr>
      </w:pPr>
      <w:r>
        <w:rPr>
          <w:rFonts w:asciiTheme="minorBidi" w:hAnsiTheme="minorBidi"/>
          <w:sz w:val="20"/>
        </w:rPr>
        <w:t>Enpara Bank</w:t>
      </w:r>
      <w:r w:rsidRPr="006F16DE">
        <w:rPr>
          <w:rFonts w:asciiTheme="minorBidi" w:hAnsiTheme="minorBidi"/>
          <w:sz w:val="20"/>
          <w:szCs w:val="20"/>
        </w:rPr>
        <w:t xml:space="preserve"> expects staff to adhere to the principles contained in the QNB Code of Ethics and Conduct. The Code sets the expectations for all </w:t>
      </w:r>
      <w:r>
        <w:rPr>
          <w:rFonts w:asciiTheme="minorBidi" w:hAnsiTheme="minorBidi"/>
          <w:sz w:val="20"/>
          <w:szCs w:val="20"/>
        </w:rPr>
        <w:t>Enpara Bank</w:t>
      </w:r>
      <w:r w:rsidRPr="006F16DE">
        <w:rPr>
          <w:rFonts w:asciiTheme="minorBidi" w:hAnsiTheme="minorBidi"/>
          <w:sz w:val="20"/>
          <w:szCs w:val="20"/>
        </w:rPr>
        <w:t xml:space="preserve"> employees in terms of values, code of conduct and business principles. The Code also covers all applicable laws and regulations that the employees should be aware of and comply with in the conduct of their daily business activities. </w:t>
      </w:r>
    </w:p>
    <w:p w:rsidRPr="006F16DE" w:rsidR="003F6D7A" w:rsidP="003F6D7A" w:rsidRDefault="003F6D7A" w14:paraId="219DD1F0" w14:textId="55C08614">
      <w:pPr>
        <w:spacing w:after="200" w:line="276" w:lineRule="auto"/>
        <w:jc w:val="both"/>
        <w:rPr>
          <w:rFonts w:asciiTheme="minorBidi" w:hAnsiTheme="minorBidi"/>
          <w:sz w:val="20"/>
          <w:szCs w:val="20"/>
        </w:rPr>
      </w:pPr>
      <w:r>
        <w:rPr>
          <w:rFonts w:asciiTheme="minorBidi" w:hAnsiTheme="minorBidi"/>
          <w:sz w:val="20"/>
          <w:szCs w:val="20"/>
        </w:rPr>
        <w:t>Enpara Bank</w:t>
      </w:r>
      <w:r w:rsidRPr="006F16DE">
        <w:rPr>
          <w:rFonts w:asciiTheme="minorBidi" w:hAnsiTheme="minorBidi"/>
          <w:sz w:val="20"/>
          <w:szCs w:val="20"/>
        </w:rPr>
        <w:t xml:space="preserve"> strives to be an employer of choice and recognizes that employees are an important asset in delivering on the Group’s vision and strategy. </w:t>
      </w:r>
      <w:r>
        <w:rPr>
          <w:rFonts w:asciiTheme="minorBidi" w:hAnsiTheme="minorBidi"/>
          <w:sz w:val="20"/>
          <w:szCs w:val="20"/>
        </w:rPr>
        <w:t>Enpara Bank</w:t>
      </w:r>
      <w:r w:rsidRPr="006F16DE">
        <w:rPr>
          <w:rFonts w:asciiTheme="minorBidi" w:hAnsiTheme="minorBidi"/>
          <w:sz w:val="20"/>
          <w:szCs w:val="20"/>
        </w:rPr>
        <w:t xml:space="preserve"> is strongly committed to attracting, developing and retaining the best talent from the diversity our communities have to offer, and promoting the inclusivity, diversity and equality of our people. As part of talent management, </w:t>
      </w:r>
      <w:r>
        <w:rPr>
          <w:rFonts w:asciiTheme="minorBidi" w:hAnsiTheme="minorBidi"/>
          <w:sz w:val="20"/>
          <w:szCs w:val="20"/>
        </w:rPr>
        <w:t>Enpara Bank</w:t>
      </w:r>
      <w:r w:rsidRPr="006F16DE">
        <w:rPr>
          <w:rFonts w:asciiTheme="minorBidi" w:hAnsiTheme="minorBidi"/>
          <w:sz w:val="20"/>
          <w:szCs w:val="20"/>
        </w:rPr>
        <w:t xml:space="preserve"> aims to ensure a pipeline of quality talent is identified developed and deployed across the </w:t>
      </w:r>
      <w:r>
        <w:rPr>
          <w:rFonts w:asciiTheme="minorBidi" w:hAnsiTheme="minorBidi"/>
          <w:sz w:val="20"/>
          <w:szCs w:val="20"/>
        </w:rPr>
        <w:t>Bank</w:t>
      </w:r>
      <w:r w:rsidRPr="006F16DE">
        <w:rPr>
          <w:rFonts w:asciiTheme="minorBidi" w:hAnsiTheme="minorBidi"/>
          <w:sz w:val="20"/>
          <w:szCs w:val="20"/>
        </w:rPr>
        <w:t xml:space="preserve">. This includes the provision of ongoing training and development as and where required. </w:t>
      </w:r>
      <w:r>
        <w:rPr>
          <w:rFonts w:asciiTheme="minorBidi" w:hAnsiTheme="minorBidi"/>
          <w:sz w:val="20"/>
          <w:szCs w:val="20"/>
        </w:rPr>
        <w:t>Enpara Bank</w:t>
      </w:r>
      <w:r w:rsidRPr="006F16DE">
        <w:rPr>
          <w:rFonts w:asciiTheme="minorBidi" w:hAnsiTheme="minorBidi"/>
          <w:sz w:val="20"/>
          <w:szCs w:val="20"/>
        </w:rPr>
        <w:t xml:space="preserve"> prioritizes worker welfare including supporting fair and ethical labor practices. </w:t>
      </w:r>
    </w:p>
    <w:p w:rsidRPr="00E7491C" w:rsidR="003F6D7A" w:rsidP="00E7491C" w:rsidRDefault="003F6D7A" w14:paraId="6A9ED0FA" w14:textId="0019C62F">
      <w:pPr>
        <w:spacing w:after="200" w:line="276" w:lineRule="auto"/>
        <w:jc w:val="both"/>
        <w:rPr>
          <w:rFonts w:asciiTheme="minorBidi" w:hAnsiTheme="minorBidi"/>
          <w:sz w:val="20"/>
          <w:szCs w:val="20"/>
        </w:rPr>
      </w:pPr>
      <w:r>
        <w:rPr>
          <w:rFonts w:asciiTheme="minorBidi" w:hAnsiTheme="minorBidi"/>
          <w:sz w:val="20"/>
          <w:szCs w:val="20"/>
        </w:rPr>
        <w:t>Enpara Bank</w:t>
      </w:r>
      <w:r w:rsidRPr="006F16DE">
        <w:rPr>
          <w:rFonts w:asciiTheme="minorBidi" w:hAnsiTheme="minorBidi"/>
          <w:sz w:val="20"/>
          <w:szCs w:val="20"/>
        </w:rPr>
        <w:t xml:space="preserve"> fully respects human rights and ensures dignity and equality for all, regardless of a persons’ race, religion, gender, age or language. </w:t>
      </w:r>
      <w:r>
        <w:rPr>
          <w:rFonts w:asciiTheme="minorBidi" w:hAnsiTheme="minorBidi"/>
          <w:sz w:val="20"/>
          <w:szCs w:val="20"/>
        </w:rPr>
        <w:t>Enpara Bank</w:t>
      </w:r>
      <w:r w:rsidRPr="006F16DE">
        <w:rPr>
          <w:rFonts w:asciiTheme="minorBidi" w:hAnsiTheme="minorBidi"/>
          <w:sz w:val="20"/>
          <w:szCs w:val="20"/>
        </w:rPr>
        <w:t xml:space="preserve"> continually and actively promote a culture of respect, equality and mutual trust across the </w:t>
      </w:r>
      <w:r>
        <w:rPr>
          <w:rFonts w:asciiTheme="minorBidi" w:hAnsiTheme="minorBidi"/>
          <w:sz w:val="20"/>
          <w:szCs w:val="20"/>
        </w:rPr>
        <w:t>Bank</w:t>
      </w:r>
      <w:r w:rsidRPr="006F16DE">
        <w:rPr>
          <w:rFonts w:asciiTheme="minorBidi" w:hAnsiTheme="minorBidi"/>
          <w:sz w:val="20"/>
          <w:szCs w:val="20"/>
        </w:rPr>
        <w:t>.</w:t>
      </w:r>
    </w:p>
    <w:p w:rsidRPr="006F16DE" w:rsidR="00A86E29" w:rsidP="00A86E29" w:rsidRDefault="00A86E29" w14:paraId="58455F9A"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Risk Management</w:t>
      </w:r>
    </w:p>
    <w:p w:rsidR="00A86E29" w:rsidP="00A86E29" w:rsidRDefault="00A86E29" w14:paraId="66D90397" w14:textId="4BFCF881">
      <w:pPr>
        <w:spacing w:after="0" w:line="276" w:lineRule="auto"/>
        <w:jc w:val="both"/>
        <w:rPr>
          <w:rFonts w:asciiTheme="minorBidi" w:hAnsiTheme="minorBidi"/>
          <w:sz w:val="20"/>
          <w:szCs w:val="20"/>
        </w:rPr>
      </w:pPr>
      <w:r w:rsidRPr="006F16DE">
        <w:rPr>
          <w:rFonts w:asciiTheme="minorBidi" w:hAnsiTheme="minorBidi"/>
          <w:sz w:val="20"/>
          <w:szCs w:val="20"/>
        </w:rPr>
        <w:t>We have implemented a robust risk management framework to identify, assess, mitigate and monitor financial crime risks. This framework includes conducting regular risk assessments, updating our policies and procedures accordingly, and ensuring that all risk management activities are aligned with our strategic objectives. By proactively managing risks, we aim to prevent financial crime before it occurs.</w:t>
      </w:r>
    </w:p>
    <w:p w:rsidRPr="006F16DE" w:rsidR="00A86E29" w:rsidP="00DC3AC0" w:rsidRDefault="00A86E29" w14:paraId="54032EDB" w14:textId="77777777">
      <w:pPr>
        <w:spacing w:after="0" w:line="276" w:lineRule="auto"/>
        <w:jc w:val="both"/>
        <w:rPr>
          <w:rFonts w:asciiTheme="minorBidi" w:hAnsiTheme="minorBidi"/>
          <w:sz w:val="20"/>
          <w:szCs w:val="20"/>
        </w:rPr>
      </w:pPr>
    </w:p>
    <w:p w:rsidRPr="006F16DE" w:rsidR="00A86E29" w:rsidP="00A86E29" w:rsidRDefault="00A86E29" w14:paraId="2E6BB104" w14:textId="4387FB28">
      <w:pPr>
        <w:jc w:val="both"/>
        <w:rPr>
          <w:rFonts w:asciiTheme="minorBidi" w:hAnsiTheme="minorBidi"/>
          <w:sz w:val="20"/>
          <w:szCs w:val="20"/>
        </w:rPr>
      </w:pPr>
      <w:r w:rsidRPr="006F16DE">
        <w:rPr>
          <w:rFonts w:asciiTheme="minorBidi" w:hAnsiTheme="minorBidi"/>
          <w:sz w:val="20"/>
          <w:szCs w:val="20"/>
        </w:rPr>
        <w:t xml:space="preserve">Risk management is constrained through strict adherence to all applicable national and international laws and regulations and </w:t>
      </w:r>
      <w:r w:rsidRPr="006F16DE">
        <w:rPr>
          <w:rFonts w:ascii="Arial" w:hAnsi="Arial" w:cs="Arial"/>
          <w:sz w:val="20"/>
          <w:szCs w:val="20"/>
        </w:rPr>
        <w:t>as allowed by the local legislation</w:t>
      </w:r>
      <w:r w:rsidRPr="006F16DE">
        <w:rPr>
          <w:rFonts w:asciiTheme="minorBidi" w:hAnsiTheme="minorBidi"/>
          <w:sz w:val="20"/>
          <w:szCs w:val="20"/>
        </w:rPr>
        <w:t xml:space="preserve"> QNB Group’s policies.</w:t>
      </w:r>
      <w:r w:rsidRPr="006F16DE" w:rsidDel="00DF0FE5">
        <w:rPr>
          <w:rFonts w:asciiTheme="minorBidi" w:hAnsiTheme="minorBidi"/>
          <w:sz w:val="20"/>
          <w:szCs w:val="20"/>
        </w:rPr>
        <w:t xml:space="preserve"> </w:t>
      </w:r>
      <w:r>
        <w:rPr>
          <w:rFonts w:asciiTheme="minorBidi" w:hAnsiTheme="minorBidi"/>
          <w:sz w:val="20"/>
          <w:szCs w:val="20"/>
        </w:rPr>
        <w:t>Enpara Bank</w:t>
      </w:r>
      <w:r w:rsidRPr="006F16DE">
        <w:rPr>
          <w:rFonts w:asciiTheme="minorBidi" w:hAnsiTheme="minorBidi"/>
          <w:sz w:val="20"/>
          <w:szCs w:val="20"/>
        </w:rPr>
        <w:t xml:space="preserve"> has zero tolerance to:</w:t>
      </w:r>
    </w:p>
    <w:p w:rsidRPr="006F16DE" w:rsidR="00A86E29" w:rsidP="00A86E29" w:rsidRDefault="00A86E29" w14:paraId="7472B546"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Activities considered illegal in any jurisdiction</w:t>
      </w:r>
    </w:p>
    <w:p w:rsidRPr="006F16DE" w:rsidR="00A86E29" w:rsidP="00A86E29" w:rsidRDefault="00A86E29" w14:paraId="6FA141ED"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Activities that may lead to penalties, enforceable directions or the loss of required licenses to operate or the inclusion of conditions in those licenses</w:t>
      </w:r>
    </w:p>
    <w:p w:rsidRPr="006F16DE" w:rsidR="00A86E29" w:rsidP="00A86E29" w:rsidRDefault="00A86E29" w14:paraId="186B18E9"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Activities not compliant with sanctions programs applicable to QNB Financial Group’s operations</w:t>
      </w:r>
    </w:p>
    <w:p w:rsidRPr="006F16DE" w:rsidR="00A86E29" w:rsidP="00A86E29" w:rsidRDefault="00A86E29" w14:paraId="5FA76734"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Activities that are in contravention of the Anti-Money Laundering and Counter Terrorism Financing regulations</w:t>
      </w:r>
    </w:p>
    <w:p w:rsidRPr="006F16DE" w:rsidR="00A86E29" w:rsidP="00A86E29" w:rsidRDefault="00A86E29" w14:paraId="342F1773"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Noncompliance of in scope Regulatory Frameworks and QNB Group Standards pertaining to compliance activities</w:t>
      </w:r>
    </w:p>
    <w:p w:rsidRPr="006F16DE" w:rsidR="00A86E29" w:rsidP="00A86E29" w:rsidRDefault="00A86E29" w14:paraId="0DA35D4A"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lastRenderedPageBreak/>
        <w:t>Activities that disregard the Financial Group’s policies and standards</w:t>
      </w:r>
    </w:p>
    <w:p w:rsidRPr="006F16DE" w:rsidR="00A86E29" w:rsidP="00A86E29" w:rsidRDefault="00A86E29" w14:paraId="4F3E9070"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Breaches of regulatory requirements and the code of ethics</w:t>
      </w:r>
    </w:p>
    <w:p w:rsidRPr="006F16DE" w:rsidR="00A86E29" w:rsidP="00A86E29" w:rsidRDefault="00A86E29" w14:paraId="2E37E724"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Breach of QNB’s Corporate Governance Principles</w:t>
      </w:r>
    </w:p>
    <w:p w:rsidRPr="006F16DE" w:rsidR="00A86E29" w:rsidP="00A86E29" w:rsidRDefault="00A86E29" w14:paraId="31AB0A60"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Products that contravene applicable laws and regulations</w:t>
      </w:r>
    </w:p>
    <w:p w:rsidRPr="006F16DE" w:rsidR="00A86E29" w:rsidP="00A86E29" w:rsidRDefault="00A86E29" w14:paraId="09B9C47E"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Fraudulent and/or criminal activities</w:t>
      </w:r>
    </w:p>
    <w:p w:rsidRPr="006F16DE" w:rsidR="00A86E29" w:rsidP="00A86E29" w:rsidRDefault="00A86E29" w14:paraId="36B3D16B"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Activities intended to evade tax obligations in any jurisdiction</w:t>
      </w:r>
    </w:p>
    <w:p w:rsidRPr="006F16DE" w:rsidR="00A86E29" w:rsidP="00A86E29" w:rsidRDefault="00A86E29" w14:paraId="2B75BFD4" w14:textId="77777777">
      <w:pPr>
        <w:pStyle w:val="ListParagraph"/>
        <w:numPr>
          <w:ilvl w:val="0"/>
          <w:numId w:val="6"/>
        </w:numPr>
        <w:spacing w:after="0" w:line="276" w:lineRule="auto"/>
        <w:ind w:left="567" w:hanging="284"/>
        <w:jc w:val="both"/>
        <w:rPr>
          <w:rFonts w:asciiTheme="minorBidi" w:hAnsiTheme="minorBidi"/>
          <w:sz w:val="20"/>
          <w:szCs w:val="20"/>
        </w:rPr>
      </w:pPr>
      <w:r w:rsidRPr="006F16DE">
        <w:rPr>
          <w:rFonts w:asciiTheme="minorBidi" w:hAnsiTheme="minorBidi"/>
          <w:sz w:val="20"/>
          <w:szCs w:val="20"/>
        </w:rPr>
        <w:t>Activities, services or products that drive systematic poor outcomes for clients and an unacceptable level of Conduct Risk</w:t>
      </w:r>
    </w:p>
    <w:p w:rsidRPr="006F16DE" w:rsidR="00A86E29" w:rsidP="00A86E29" w:rsidRDefault="00A86E29" w14:paraId="5F4CE634" w14:textId="77777777">
      <w:pPr>
        <w:spacing w:after="0" w:line="276" w:lineRule="auto"/>
        <w:jc w:val="both"/>
        <w:rPr>
          <w:rFonts w:asciiTheme="minorBidi" w:hAnsiTheme="minorBidi"/>
          <w:sz w:val="10"/>
          <w:szCs w:val="10"/>
        </w:rPr>
      </w:pPr>
    </w:p>
    <w:p w:rsidRPr="00F96D68" w:rsidR="00A86E29" w:rsidP="00D56992" w:rsidRDefault="00A86E29" w14:paraId="79CFFC81" w14:textId="72733E41">
      <w:pPr>
        <w:spacing w:after="0" w:line="276" w:lineRule="auto"/>
        <w:jc w:val="both"/>
        <w:rPr>
          <w:rFonts w:asciiTheme="minorBidi" w:hAnsiTheme="minorBidi"/>
          <w:sz w:val="20"/>
          <w:szCs w:val="20"/>
        </w:rPr>
      </w:pPr>
      <w:r w:rsidRPr="006F16DE">
        <w:rPr>
          <w:rFonts w:asciiTheme="minorBidi" w:hAnsiTheme="minorBidi"/>
          <w:sz w:val="20"/>
          <w:szCs w:val="20"/>
        </w:rPr>
        <w:t xml:space="preserve">In compliance with our regulatory requirements and/or our internal policies, </w:t>
      </w:r>
      <w:r>
        <w:rPr>
          <w:rFonts w:asciiTheme="minorBidi" w:hAnsiTheme="minorBidi"/>
          <w:sz w:val="20"/>
          <w:szCs w:val="20"/>
        </w:rPr>
        <w:t>Enpara Bank</w:t>
      </w:r>
      <w:r w:rsidRPr="006F16DE">
        <w:rPr>
          <w:rFonts w:asciiTheme="minorBidi" w:hAnsiTheme="minorBidi"/>
          <w:sz w:val="20"/>
          <w:szCs w:val="20"/>
        </w:rPr>
        <w:t xml:space="preserve"> may decide, based on its sole discretion, legal obligations or risk appetite, to not support certain customer relationships or business activity even if it is legally permitted.</w:t>
      </w:r>
    </w:p>
    <w:p w:rsidRPr="00F96D68" w:rsidR="00AE61A3" w:rsidP="00D56992" w:rsidRDefault="00AE61A3" w14:paraId="0E32C5CA" w14:textId="4CDA9A44">
      <w:pPr>
        <w:spacing w:after="0" w:line="276" w:lineRule="auto"/>
        <w:jc w:val="both"/>
        <w:rPr>
          <w:rFonts w:asciiTheme="minorBidi" w:hAnsiTheme="minorBidi"/>
          <w:sz w:val="10"/>
          <w:szCs w:val="10"/>
        </w:rPr>
      </w:pPr>
    </w:p>
    <w:p w:rsidRPr="006F16DE" w:rsidR="00A86E29" w:rsidP="00A86E29" w:rsidRDefault="00A86E29" w14:paraId="31F7DB8C"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Clients</w:t>
      </w:r>
    </w:p>
    <w:p w:rsidRPr="006F16DE" w:rsidR="00A86E29" w:rsidP="00A86E29" w:rsidRDefault="00A86E29" w14:paraId="5324951C" w14:textId="7A0E94BD">
      <w:pPr>
        <w:jc w:val="both"/>
        <w:rPr>
          <w:rFonts w:asciiTheme="minorBidi" w:hAnsiTheme="minorBidi"/>
          <w:sz w:val="20"/>
          <w:szCs w:val="20"/>
        </w:rPr>
      </w:pPr>
      <w:r w:rsidRPr="006F16DE">
        <w:rPr>
          <w:rFonts w:asciiTheme="minorBidi" w:hAnsiTheme="minorBidi"/>
          <w:sz w:val="20"/>
          <w:szCs w:val="20"/>
        </w:rPr>
        <w:t xml:space="preserve">We do not assist or provide products and services to criminals and disguise the illegal origin of funds. </w:t>
      </w:r>
      <w:r>
        <w:rPr>
          <w:rFonts w:asciiTheme="minorBidi" w:hAnsiTheme="minorBidi"/>
          <w:sz w:val="20"/>
          <w:szCs w:val="20"/>
        </w:rPr>
        <w:t>Enpara Bank</w:t>
      </w:r>
      <w:r w:rsidRPr="006F16DE">
        <w:rPr>
          <w:rFonts w:asciiTheme="minorBidi" w:hAnsiTheme="minorBidi"/>
          <w:sz w:val="20"/>
          <w:szCs w:val="20"/>
        </w:rPr>
        <w:t xml:space="preserve"> implemented a risk-based approach to combating financial crimes. Every customer is identified using reliable sources and any suspicious activities or transactions are escalated and reported to the relevant authorities in line with established policies. </w:t>
      </w:r>
    </w:p>
    <w:p w:rsidRPr="006F16DE" w:rsidR="00A86E29" w:rsidP="00A86E29" w:rsidRDefault="00A86E29" w14:paraId="3D7937E0" w14:textId="713572C8">
      <w:pPr>
        <w:jc w:val="both"/>
        <w:rPr>
          <w:rFonts w:asciiTheme="minorBidi" w:hAnsiTheme="minorBidi"/>
          <w:sz w:val="20"/>
          <w:szCs w:val="20"/>
        </w:rPr>
      </w:pPr>
      <w:r>
        <w:rPr>
          <w:rFonts w:asciiTheme="minorBidi" w:hAnsiTheme="minorBidi"/>
          <w:sz w:val="20"/>
          <w:szCs w:val="20"/>
        </w:rPr>
        <w:t>Enpara Bank</w:t>
      </w:r>
      <w:r w:rsidRPr="006F16DE">
        <w:rPr>
          <w:rFonts w:asciiTheme="minorBidi" w:hAnsiTheme="minorBidi"/>
          <w:sz w:val="20"/>
          <w:szCs w:val="20"/>
        </w:rPr>
        <w:t xml:space="preserve"> has no appetite for clients who engage in any of the following: </w:t>
      </w:r>
    </w:p>
    <w:p w:rsidRPr="006F16DE" w:rsidR="00A86E29" w:rsidP="00A86E29" w:rsidRDefault="00A86E29" w14:paraId="6E616B02"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 xml:space="preserve">Intentional or willful negligent breaches of law, regulation or policy applicable to Financial Crime </w:t>
      </w:r>
    </w:p>
    <w:p w:rsidRPr="006F16DE" w:rsidR="00A86E29" w:rsidP="00A86E29" w:rsidRDefault="00A86E29" w14:paraId="2A531561"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Repeated unintentional or repeated accidental breaches of law, regulation or policy applicable to Financial Crime Risk</w:t>
      </w:r>
    </w:p>
    <w:p w:rsidRPr="006F16DE" w:rsidR="00A86E29" w:rsidP="00A86E29" w:rsidRDefault="00A86E29" w14:paraId="5067E236"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Using the account for the purpose of money laundering, terrorism financing</w:t>
      </w:r>
      <w:r w:rsidRPr="006F16DE">
        <w:rPr>
          <w:rFonts w:asciiTheme="minorBidi" w:hAnsiTheme="minorBidi"/>
          <w:sz w:val="20"/>
          <w:szCs w:val="20"/>
        </w:rPr>
        <w:t xml:space="preserve"> and proliferation of weapons of mass destruction</w:t>
      </w:r>
    </w:p>
    <w:p w:rsidRPr="006F16DE" w:rsidR="00A86E29" w:rsidP="00A86E29" w:rsidRDefault="00A86E29" w14:paraId="3C5DFF65"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Misusing the account for the purpose of fraud or tax</w:t>
      </w:r>
    </w:p>
    <w:p w:rsidRPr="006F16DE" w:rsidR="00A86E29" w:rsidP="00A86E29" w:rsidRDefault="00A86E29" w14:paraId="7D1B8DFE"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Facilitating business activities which could be construed as a tax offence</w:t>
      </w:r>
    </w:p>
    <w:p w:rsidRPr="006F16DE" w:rsidR="00A86E29" w:rsidP="00A86E29" w:rsidRDefault="00A86E29" w14:paraId="25235458"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Refusing to provide sufficient information or documentation to demonstrate compliance with the standards outlined in this Statement and related Policies</w:t>
      </w:r>
    </w:p>
    <w:p w:rsidRPr="006F16DE" w:rsidR="00A86E29" w:rsidP="00A86E29" w:rsidRDefault="00A86E29" w14:paraId="57676C3D"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Refusing to provide information or share details about their tax residency</w:t>
      </w:r>
    </w:p>
    <w:p w:rsidRPr="006F16DE" w:rsidR="00A86E29" w:rsidP="00A86E29" w:rsidRDefault="00A86E29" w14:paraId="35B049CF"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asciiTheme="minorBidi" w:hAnsiTheme="minorBidi"/>
          <w:color w:val="000000"/>
          <w:sz w:val="20"/>
          <w:szCs w:val="20"/>
        </w:rPr>
        <w:t>Refusing to provide information or share details about their identity and ownership structure</w:t>
      </w:r>
    </w:p>
    <w:p w:rsidRPr="006F16DE" w:rsidR="00A86E29" w:rsidP="00A86E29" w:rsidRDefault="00A86E29" w14:paraId="470C6862"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eastAsia="Times New Roman" w:asciiTheme="minorBidi" w:hAnsiTheme="minorBidi"/>
          <w:sz w:val="20"/>
          <w:szCs w:val="20"/>
        </w:rPr>
        <w:t>Unethical form of gifts and/or hospitality that could influence decision making or to facilitate payments</w:t>
      </w:r>
    </w:p>
    <w:p w:rsidRPr="006F16DE" w:rsidR="00A86E29" w:rsidP="00A86E29" w:rsidRDefault="00A86E29" w14:paraId="420D5DCE" w14:textId="77777777">
      <w:pPr>
        <w:pStyle w:val="ListParagraph"/>
        <w:numPr>
          <w:ilvl w:val="0"/>
          <w:numId w:val="7"/>
        </w:numPr>
        <w:autoSpaceDE w:val="0"/>
        <w:autoSpaceDN w:val="0"/>
        <w:adjustRightInd w:val="0"/>
        <w:spacing w:after="0" w:line="276" w:lineRule="auto"/>
        <w:contextualSpacing w:val="0"/>
        <w:jc w:val="both"/>
        <w:rPr>
          <w:rFonts w:asciiTheme="minorBidi" w:hAnsiTheme="minorBidi"/>
          <w:color w:val="000000"/>
          <w:sz w:val="20"/>
          <w:szCs w:val="20"/>
        </w:rPr>
      </w:pPr>
      <w:r w:rsidRPr="006F16DE">
        <w:rPr>
          <w:rFonts w:eastAsia="Times New Roman" w:asciiTheme="minorBidi" w:hAnsiTheme="minorBidi"/>
          <w:sz w:val="20"/>
          <w:szCs w:val="20"/>
        </w:rPr>
        <w:t>Any activities considered illegal or prohibited in any jurisdictions</w:t>
      </w:r>
    </w:p>
    <w:p w:rsidR="00AE61A3" w:rsidP="00D56992" w:rsidRDefault="00AE61A3" w14:paraId="795D1245" w14:textId="0292CCAB">
      <w:pPr>
        <w:spacing w:after="0" w:line="276" w:lineRule="auto"/>
        <w:jc w:val="both"/>
        <w:rPr>
          <w:rFonts w:asciiTheme="minorBidi" w:hAnsiTheme="minorBidi"/>
          <w:sz w:val="20"/>
          <w:szCs w:val="20"/>
        </w:rPr>
      </w:pPr>
    </w:p>
    <w:p w:rsidRPr="00F96D68" w:rsidR="00A86E29" w:rsidP="00D56992" w:rsidRDefault="00A86E29" w14:paraId="4AB5A87D" w14:textId="77777777">
      <w:pPr>
        <w:spacing w:after="0" w:line="276" w:lineRule="auto"/>
        <w:jc w:val="both"/>
        <w:rPr>
          <w:rFonts w:asciiTheme="minorBidi" w:hAnsiTheme="minorBidi"/>
          <w:sz w:val="20"/>
          <w:szCs w:val="20"/>
        </w:rPr>
      </w:pPr>
    </w:p>
    <w:p w:rsidRPr="006F16DE" w:rsidR="00C61D4F" w:rsidP="00C61D4F" w:rsidRDefault="00C61D4F" w14:paraId="7B509975"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Money-Laundering and Terrorism Financing</w:t>
      </w:r>
    </w:p>
    <w:p w:rsidRPr="006F16DE" w:rsidR="00C61D4F" w:rsidP="00C61D4F" w:rsidRDefault="00C61D4F" w14:paraId="472DE48E" w14:textId="070DAD7F">
      <w:pPr>
        <w:jc w:val="both"/>
        <w:rPr>
          <w:rFonts w:asciiTheme="minorBidi" w:hAnsiTheme="minorBidi"/>
          <w:sz w:val="20"/>
          <w:szCs w:val="20"/>
        </w:rPr>
      </w:pPr>
      <w:r>
        <w:rPr>
          <w:rFonts w:asciiTheme="minorBidi" w:hAnsiTheme="minorBidi"/>
          <w:sz w:val="20"/>
          <w:szCs w:val="20"/>
        </w:rPr>
        <w:t>Enpara Bank</w:t>
      </w:r>
      <w:r w:rsidRPr="006F16DE">
        <w:rPr>
          <w:rFonts w:asciiTheme="minorBidi" w:hAnsiTheme="minorBidi"/>
          <w:sz w:val="20"/>
          <w:szCs w:val="20"/>
        </w:rPr>
        <w:t xml:space="preserve"> is dedicated to preventing money laundering and terrorism financing. We understand the severe impact these activities can have on the financial system and society. Therefore, we have implemented robust policies and procedures to identify, prevent, and report any suspicious activities related to money laundering or terrorism financing. In addition, we apply CDD procedures that include formal searches against lists of known or suspected terrorists issued by competent authorities having jurisdiction over the relevant financial institution. Our policies comply with international standards and regulatory requirements, ensuring we uphold the highest levels of integrity and compliance.</w:t>
      </w:r>
    </w:p>
    <w:p w:rsidRPr="006F16DE" w:rsidR="00C61D4F" w:rsidP="00C61D4F" w:rsidRDefault="00C61D4F" w14:paraId="46A600BD" w14:textId="52BD5334">
      <w:pPr>
        <w:jc w:val="both"/>
        <w:rPr>
          <w:rFonts w:asciiTheme="minorBidi" w:hAnsiTheme="minorBidi"/>
          <w:sz w:val="20"/>
          <w:szCs w:val="20"/>
        </w:rPr>
      </w:pPr>
      <w:r w:rsidRPr="006F16DE">
        <w:rPr>
          <w:rFonts w:asciiTheme="minorBidi" w:hAnsiTheme="minorBidi"/>
          <w:sz w:val="20"/>
          <w:szCs w:val="20"/>
        </w:rPr>
        <w:t xml:space="preserve">All employees, contractors, and associated parties are required to adhere to these policies. This includes performing thorough customer due diligence, monitoring transactions for unusual or suspicious activity, and promptly reporting any findings to the relevant authorities. We also provide continuous training to ensure employees are equipped to recognize and address potential risks. By fostering a culture of vigilance and </w:t>
      </w:r>
      <w:r w:rsidRPr="006F16DE">
        <w:rPr>
          <w:rFonts w:asciiTheme="minorBidi" w:hAnsiTheme="minorBidi"/>
          <w:sz w:val="20"/>
          <w:szCs w:val="20"/>
        </w:rPr>
        <w:lastRenderedPageBreak/>
        <w:t xml:space="preserve">responsibility, </w:t>
      </w:r>
      <w:r>
        <w:rPr>
          <w:rFonts w:asciiTheme="minorBidi" w:hAnsiTheme="minorBidi"/>
          <w:sz w:val="20"/>
          <w:szCs w:val="20"/>
        </w:rPr>
        <w:t>Enpara Bank</w:t>
      </w:r>
      <w:r w:rsidRPr="006F16DE">
        <w:rPr>
          <w:rFonts w:asciiTheme="minorBidi" w:hAnsiTheme="minorBidi"/>
          <w:sz w:val="20"/>
          <w:szCs w:val="20"/>
        </w:rPr>
        <w:t xml:space="preserve"> aim to protect our organization and support the global combat against financial crime.</w:t>
      </w:r>
    </w:p>
    <w:p w:rsidRPr="00F96D68" w:rsidR="00C61D4F" w:rsidP="00D65A90" w:rsidRDefault="00C61D4F" w14:paraId="0B315E99" w14:textId="4C7C60B8">
      <w:pPr>
        <w:jc w:val="both"/>
        <w:rPr>
          <w:rFonts w:asciiTheme="minorBidi" w:hAnsiTheme="minorBidi"/>
          <w:sz w:val="20"/>
          <w:szCs w:val="20"/>
        </w:rPr>
      </w:pPr>
      <w:r w:rsidRPr="006F16DE">
        <w:rPr>
          <w:rFonts w:asciiTheme="minorBidi" w:hAnsiTheme="minorBidi"/>
          <w:sz w:val="20"/>
          <w:szCs w:val="20"/>
        </w:rPr>
        <w:t xml:space="preserve">To further strengthen our efforts, we have utilized advanced systems and technology to enhance our AML and CFT transaction monitoring capabilities. We ensure that our recordkeeping for all anti-money-laundering/terrorism financing-related documents are compliant with local regulatory requirements in the countries where we operate. Regular audits and reviews of our AML and CFT programs are conducted on annual basis to ensure their effectiveness and to adapt to evolving threats. We have also collaborated with regulatory bodies and industry experts to stay informed about the latest trends and best practices in combating financial crime. </w:t>
      </w:r>
    </w:p>
    <w:p w:rsidRPr="006F16DE" w:rsidR="00C61D4F" w:rsidP="00C61D4F" w:rsidRDefault="00C61D4F" w14:paraId="44925456"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Sanctions and Proliferation of Weapons of Mass Destruction</w:t>
      </w:r>
    </w:p>
    <w:p w:rsidRPr="00AE11F5" w:rsidR="00C61D4F" w:rsidP="00D56992" w:rsidRDefault="00500268" w14:paraId="0A50DB1D" w14:textId="1EDCCF4C">
      <w:pPr>
        <w:spacing w:after="200" w:line="276" w:lineRule="auto"/>
        <w:jc w:val="both"/>
        <w:rPr>
          <w:rFonts w:asciiTheme="minorBidi" w:hAnsiTheme="minorBidi"/>
          <w:sz w:val="20"/>
          <w:szCs w:val="20"/>
        </w:rPr>
      </w:pPr>
      <w:r>
        <w:rPr>
          <w:rFonts w:asciiTheme="minorBidi" w:hAnsiTheme="minorBidi"/>
          <w:sz w:val="20"/>
        </w:rPr>
        <w:t>Enpara Bank</w:t>
      </w:r>
      <w:r w:rsidR="00C61D4F">
        <w:rPr>
          <w:rFonts w:asciiTheme="minorBidi" w:hAnsiTheme="minorBidi"/>
          <w:sz w:val="20"/>
        </w:rPr>
        <w:t xml:space="preserve"> </w:t>
      </w:r>
      <w:r w:rsidRPr="006F16DE" w:rsidR="00C61D4F">
        <w:rPr>
          <w:rFonts w:asciiTheme="minorBidi" w:hAnsiTheme="minorBidi"/>
          <w:sz w:val="20"/>
          <w:szCs w:val="20"/>
        </w:rPr>
        <w:t xml:space="preserve">is committed to complying with all applicable sanctions laws and regulations, including those related to the proliferation of weapons of mass destruction (WMD). We have established a comprehensive sanctions compliance program that includes screening customers and transactions against relevant sanctions lists, such as those maintained by Türkiye, the United Nations Security Council (UNSC), </w:t>
      </w:r>
      <w:r w:rsidR="00C61D4F">
        <w:rPr>
          <w:rFonts w:asciiTheme="minorBidi" w:hAnsiTheme="minorBidi"/>
          <w:sz w:val="20"/>
          <w:szCs w:val="20"/>
        </w:rPr>
        <w:t xml:space="preserve">the </w:t>
      </w:r>
      <w:r w:rsidRPr="00C61D4F" w:rsidR="00C61D4F">
        <w:rPr>
          <w:rFonts w:asciiTheme="minorBidi" w:hAnsiTheme="minorBidi"/>
          <w:sz w:val="20"/>
          <w:szCs w:val="20"/>
        </w:rPr>
        <w:t>UK Office of Financial Sanctions Enforcement (OFSI)</w:t>
      </w:r>
      <w:r w:rsidRPr="006F16DE" w:rsidR="00C61D4F">
        <w:rPr>
          <w:rFonts w:asciiTheme="minorBidi" w:hAnsiTheme="minorBidi"/>
          <w:sz w:val="20"/>
          <w:szCs w:val="20"/>
        </w:rPr>
        <w:t>, the European Union (EU), the United States Office of Foreign Assets Control (OFAC), and Qatar (any relevant official authorities), among others. Our program is designed to prevent the Financial Group from engaging in business with sanctioned individuals, entities, and countries, thereby mitigating the risk of financial crime and protecting our reputation.</w:t>
      </w:r>
    </w:p>
    <w:p w:rsidRPr="006F16DE" w:rsidR="00AE11F5" w:rsidP="00AE11F5" w:rsidRDefault="00AE11F5" w14:paraId="13489CEA"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Fraud</w:t>
      </w:r>
    </w:p>
    <w:p w:rsidRPr="00F96D68" w:rsidR="00AE11F5" w:rsidP="00D56992" w:rsidRDefault="00500268" w14:paraId="1B65EAD4" w14:textId="613D710C">
      <w:pPr>
        <w:spacing w:after="200" w:line="276" w:lineRule="auto"/>
        <w:jc w:val="both"/>
        <w:rPr>
          <w:rFonts w:asciiTheme="minorBidi" w:hAnsiTheme="minorBidi"/>
          <w:sz w:val="20"/>
          <w:szCs w:val="20"/>
        </w:rPr>
      </w:pPr>
      <w:r>
        <w:rPr>
          <w:rFonts w:asciiTheme="minorBidi" w:hAnsiTheme="minorBidi"/>
          <w:sz w:val="20"/>
        </w:rPr>
        <w:t>Enpara Bank</w:t>
      </w:r>
      <w:r w:rsidRPr="006F16DE" w:rsidR="00AE11F5">
        <w:rPr>
          <w:rFonts w:asciiTheme="minorBidi" w:hAnsiTheme="minorBidi"/>
          <w:sz w:val="20"/>
          <w:szCs w:val="20"/>
        </w:rPr>
        <w:t xml:space="preserve"> takes a proactive approach to preventing and detecting fraud. Our fraud prevention framework includes robust internal controls, employee training, and advanced technology to identify and mitigate fraudulent activities. We conduct regular audits and independent testing of our fraud controls to ensure their effectiveness. Employees are encouraged to report any suspected fraud through established reporting channels, and all reports are thoroughly investigated. By maintaining a strong anti-fraud culture, we aim to protect our customers and the integrity of our financial systems.</w:t>
      </w:r>
    </w:p>
    <w:p w:rsidRPr="006F16DE" w:rsidR="00AE11F5" w:rsidP="00AE11F5" w:rsidRDefault="00AE11F5" w14:paraId="66D65377" w14:textId="77777777">
      <w:pPr>
        <w:pStyle w:val="Heading4"/>
        <w:jc w:val="both"/>
        <w:rPr>
          <w:rFonts w:asciiTheme="minorBidi" w:hAnsiTheme="minorBidi" w:cstheme="minorBidi"/>
          <w:b/>
          <w:bCs/>
          <w:sz w:val="20"/>
          <w:szCs w:val="20"/>
        </w:rPr>
      </w:pPr>
      <w:r w:rsidRPr="006F16DE">
        <w:rPr>
          <w:rFonts w:asciiTheme="minorBidi" w:hAnsiTheme="minorBidi" w:cstheme="minorBidi"/>
          <w:b/>
          <w:bCs/>
          <w:sz w:val="20"/>
          <w:szCs w:val="20"/>
        </w:rPr>
        <w:t>Bribery and Corruption</w:t>
      </w:r>
    </w:p>
    <w:p w:rsidRPr="00F96D68" w:rsidR="00AE11F5" w:rsidP="00D56992" w:rsidRDefault="00500268" w14:paraId="63571C9B" w14:textId="4E893196">
      <w:pPr>
        <w:spacing w:after="200" w:line="276" w:lineRule="auto"/>
        <w:jc w:val="both"/>
        <w:rPr>
          <w:rFonts w:asciiTheme="minorBidi" w:hAnsiTheme="minorBidi"/>
          <w:sz w:val="20"/>
          <w:szCs w:val="20"/>
        </w:rPr>
      </w:pPr>
      <w:r>
        <w:rPr>
          <w:rFonts w:asciiTheme="minorBidi" w:hAnsiTheme="minorBidi"/>
          <w:sz w:val="20"/>
        </w:rPr>
        <w:t>Enpara Bank</w:t>
      </w:r>
      <w:r w:rsidRPr="006F16DE" w:rsidR="00AE11F5">
        <w:rPr>
          <w:rFonts w:asciiTheme="minorBidi" w:hAnsiTheme="minorBidi"/>
          <w:sz w:val="20"/>
          <w:szCs w:val="20"/>
        </w:rPr>
        <w:t xml:space="preserve"> has a zero-tolerance policy towards bribery and corruption. We are committed to conducting business ethically and in compliance with all applicable Anti-Bribery and Corruption (ABC) laws. Our policy includes clear guidelines on acceptable business practices, employee training on recognizing and preventing bribery and corruption, and stringent internal controls to detect and prevent such activities. We also require all third parties acting on our behalf to adhere to the same high standards of conduct. Any suspected bribery or corruption is promptly investigated, and appropriate disciplinary actions are taken.</w:t>
      </w:r>
    </w:p>
    <w:p w:rsidRPr="006F16DE" w:rsidR="00C17E5F" w:rsidP="00C17E5F" w:rsidRDefault="00C17E5F" w14:paraId="0916380D" w14:textId="77777777">
      <w:pPr>
        <w:pStyle w:val="Heading1"/>
      </w:pPr>
      <w:bookmarkStart w:name="_Toc204172514" w:id="12"/>
      <w:bookmarkStart w:name="_Toc199430636" w:id="13"/>
      <w:bookmarkStart w:name="_Toc208216199" w:id="14"/>
      <w:r w:rsidRPr="006F16DE">
        <w:t>5. Financial Crime Risk Appetite</w:t>
      </w:r>
      <w:bookmarkEnd w:id="12"/>
    </w:p>
    <w:bookmarkEnd w:id="13"/>
    <w:bookmarkEnd w:id="14"/>
    <w:p w:rsidRPr="006F16DE" w:rsidR="00C17E5F" w:rsidP="00C17E5F" w:rsidRDefault="00500268" w14:paraId="00E9114F" w14:textId="00F04C30">
      <w:pPr>
        <w:spacing w:after="0" w:line="240" w:lineRule="auto"/>
        <w:jc w:val="both"/>
        <w:rPr>
          <w:rFonts w:eastAsia="Times New Roman" w:asciiTheme="minorBidi" w:hAnsiTheme="minorBidi"/>
          <w:sz w:val="20"/>
          <w:szCs w:val="20"/>
        </w:rPr>
      </w:pPr>
      <w:r>
        <w:rPr>
          <w:rFonts w:asciiTheme="minorBidi" w:hAnsiTheme="minorBidi"/>
          <w:sz w:val="20"/>
        </w:rPr>
        <w:t>Enpara Bank</w:t>
      </w:r>
      <w:r w:rsidRPr="006F16DE" w:rsidR="00C17E5F">
        <w:rPr>
          <w:rFonts w:eastAsia="Times New Roman" w:asciiTheme="minorBidi" w:hAnsiTheme="minorBidi"/>
          <w:sz w:val="20"/>
          <w:szCs w:val="20"/>
        </w:rPr>
        <w:t>’s financial crime risk appetite are based on four risk factors as follows:</w:t>
      </w:r>
    </w:p>
    <w:p w:rsidRPr="006F16DE" w:rsidR="00C17E5F" w:rsidP="00C17E5F" w:rsidRDefault="00C17E5F" w14:paraId="0849A592" w14:textId="77777777">
      <w:pPr>
        <w:pStyle w:val="ListParagraph"/>
        <w:numPr>
          <w:ilvl w:val="0"/>
          <w:numId w:val="8"/>
        </w:numPr>
        <w:spacing w:after="0" w:line="240" w:lineRule="auto"/>
        <w:jc w:val="both"/>
        <w:rPr>
          <w:rFonts w:eastAsia="Times New Roman" w:asciiTheme="minorBidi" w:hAnsiTheme="minorBidi"/>
          <w:sz w:val="20"/>
          <w:szCs w:val="20"/>
        </w:rPr>
      </w:pPr>
      <w:r w:rsidRPr="006F16DE">
        <w:rPr>
          <w:rFonts w:eastAsia="Times New Roman" w:asciiTheme="minorBidi" w:hAnsiTheme="minorBidi"/>
          <w:sz w:val="20"/>
          <w:szCs w:val="20"/>
        </w:rPr>
        <w:t>Customer Risk</w:t>
      </w:r>
    </w:p>
    <w:p w:rsidRPr="006F16DE" w:rsidR="00C17E5F" w:rsidP="00C17E5F" w:rsidRDefault="00C17E5F" w14:paraId="0C61896A" w14:textId="77777777">
      <w:pPr>
        <w:pStyle w:val="ListParagraph"/>
        <w:numPr>
          <w:ilvl w:val="0"/>
          <w:numId w:val="8"/>
        </w:numPr>
        <w:spacing w:after="0" w:line="240" w:lineRule="auto"/>
        <w:jc w:val="both"/>
        <w:rPr>
          <w:rFonts w:eastAsia="Times New Roman" w:asciiTheme="minorBidi" w:hAnsiTheme="minorBidi"/>
          <w:sz w:val="20"/>
          <w:szCs w:val="20"/>
        </w:rPr>
      </w:pPr>
      <w:r w:rsidRPr="006F16DE">
        <w:rPr>
          <w:rFonts w:eastAsia="Times New Roman" w:asciiTheme="minorBidi" w:hAnsiTheme="minorBidi"/>
          <w:sz w:val="20"/>
          <w:szCs w:val="20"/>
        </w:rPr>
        <w:t>Country Risk</w:t>
      </w:r>
    </w:p>
    <w:p w:rsidRPr="006F16DE" w:rsidR="00C17E5F" w:rsidP="00C17E5F" w:rsidRDefault="00C17E5F" w14:paraId="14E16F68" w14:textId="77777777">
      <w:pPr>
        <w:pStyle w:val="ListParagraph"/>
        <w:numPr>
          <w:ilvl w:val="0"/>
          <w:numId w:val="8"/>
        </w:numPr>
        <w:spacing w:after="0" w:line="240" w:lineRule="auto"/>
        <w:jc w:val="both"/>
        <w:rPr>
          <w:rFonts w:eastAsia="Times New Roman" w:asciiTheme="minorBidi" w:hAnsiTheme="minorBidi"/>
          <w:sz w:val="20"/>
          <w:szCs w:val="20"/>
        </w:rPr>
      </w:pPr>
      <w:r w:rsidRPr="006F16DE">
        <w:rPr>
          <w:rFonts w:eastAsia="Times New Roman" w:asciiTheme="minorBidi" w:hAnsiTheme="minorBidi"/>
          <w:sz w:val="20"/>
          <w:szCs w:val="20"/>
        </w:rPr>
        <w:t>Product / Service Risk</w:t>
      </w:r>
    </w:p>
    <w:p w:rsidRPr="006F16DE" w:rsidR="00C17E5F" w:rsidP="00C17E5F" w:rsidRDefault="00C17E5F" w14:paraId="277B93FB" w14:textId="77777777">
      <w:pPr>
        <w:pStyle w:val="ListParagraph"/>
        <w:numPr>
          <w:ilvl w:val="0"/>
          <w:numId w:val="8"/>
        </w:numPr>
        <w:spacing w:after="0" w:line="240" w:lineRule="auto"/>
        <w:jc w:val="both"/>
        <w:rPr>
          <w:rFonts w:eastAsia="Times New Roman" w:asciiTheme="minorBidi" w:hAnsiTheme="minorBidi"/>
          <w:sz w:val="20"/>
          <w:szCs w:val="20"/>
        </w:rPr>
      </w:pPr>
      <w:r w:rsidRPr="006F16DE">
        <w:rPr>
          <w:rFonts w:eastAsia="Times New Roman" w:asciiTheme="minorBidi" w:hAnsiTheme="minorBidi"/>
          <w:sz w:val="20"/>
          <w:szCs w:val="20"/>
        </w:rPr>
        <w:t>Technology / Delivery Channel Risk</w:t>
      </w:r>
    </w:p>
    <w:p w:rsidRPr="006F16DE" w:rsidR="00C17E5F" w:rsidP="00C17E5F" w:rsidRDefault="00C17E5F" w14:paraId="4AE8BFF0" w14:textId="77777777">
      <w:pPr>
        <w:pStyle w:val="ListParagraph"/>
        <w:spacing w:after="0" w:line="240" w:lineRule="auto"/>
        <w:jc w:val="both"/>
        <w:rPr>
          <w:rFonts w:eastAsia="Times New Roman" w:asciiTheme="minorBidi" w:hAnsiTheme="minorBidi"/>
          <w:sz w:val="20"/>
          <w:szCs w:val="20"/>
        </w:rPr>
      </w:pPr>
    </w:p>
    <w:p w:rsidRPr="00F96D68" w:rsidR="004D155B" w:rsidP="00DC3AC0" w:rsidRDefault="00C17E5F" w14:paraId="76265F02" w14:textId="527F325D">
      <w:r w:rsidRPr="006F16DE">
        <w:rPr>
          <w:rFonts w:eastAsia="Times New Roman" w:asciiTheme="minorBidi" w:hAnsiTheme="minorBidi"/>
          <w:b/>
          <w:bCs/>
          <w:i/>
          <w:iCs/>
          <w:sz w:val="20"/>
          <w:szCs w:val="20"/>
        </w:rPr>
        <w:t>Refer to Appendix 1 for details of each risk factors.</w:t>
      </w:r>
    </w:p>
    <w:p w:rsidRPr="006F16DE" w:rsidR="00C17E5F" w:rsidP="00C17E5F" w:rsidRDefault="00C17E5F" w14:paraId="58F163F2" w14:textId="77777777">
      <w:pPr>
        <w:pStyle w:val="Heading1"/>
      </w:pPr>
      <w:bookmarkStart w:name="_Toc204172515" w:id="15"/>
      <w:bookmarkStart w:name="_Toc199430637" w:id="16"/>
      <w:bookmarkStart w:name="_Toc208216200" w:id="17"/>
      <w:r w:rsidRPr="006F16DE">
        <w:t>6. Limits</w:t>
      </w:r>
      <w:bookmarkEnd w:id="15"/>
    </w:p>
    <w:bookmarkEnd w:id="16"/>
    <w:bookmarkEnd w:id="17"/>
    <w:p w:rsidRPr="006F16DE" w:rsidR="00C17E5F" w:rsidP="00C17E5F" w:rsidRDefault="00C17E5F" w14:paraId="3290A114" w14:textId="77777777">
      <w:pPr>
        <w:jc w:val="both"/>
        <w:rPr>
          <w:rFonts w:asciiTheme="minorBidi" w:hAnsiTheme="minorBidi"/>
          <w:sz w:val="20"/>
          <w:szCs w:val="20"/>
        </w:rPr>
      </w:pPr>
      <w:r w:rsidRPr="006F16DE">
        <w:rPr>
          <w:rFonts w:asciiTheme="minorBidi" w:hAnsiTheme="minorBidi"/>
          <w:sz w:val="20"/>
          <w:szCs w:val="20"/>
        </w:rPr>
        <w:t>The purpose of implementing limits is to establish a clear risk appetite and manage exposure to financial crime risks. These limits act as early warning indicators, prompting additional scrutiny or enhanced due diligence when thresholds are exceeded. These thresholds should be reviewed regularly and updated based on changes in the operating environment, regulatory expectations, and the evolving landscape of financial crime risks.</w:t>
      </w:r>
    </w:p>
    <w:p w:rsidRPr="006F16DE" w:rsidR="00C17E5F" w:rsidP="00C17E5F" w:rsidRDefault="00C17E5F" w14:paraId="718046E4" w14:textId="77777777">
      <w:pPr>
        <w:spacing w:after="0" w:line="240" w:lineRule="auto"/>
        <w:jc w:val="both"/>
        <w:rPr>
          <w:rFonts w:eastAsia="Times New Roman" w:asciiTheme="minorBidi" w:hAnsiTheme="minorBidi"/>
          <w:b/>
          <w:bCs/>
          <w:i/>
          <w:iCs/>
          <w:sz w:val="20"/>
          <w:szCs w:val="20"/>
        </w:rPr>
      </w:pPr>
      <w:r w:rsidRPr="006F16DE">
        <w:rPr>
          <w:rFonts w:eastAsia="Times New Roman" w:asciiTheme="minorBidi" w:hAnsiTheme="minorBidi"/>
          <w:b/>
          <w:bCs/>
          <w:i/>
          <w:iCs/>
          <w:sz w:val="20"/>
          <w:szCs w:val="20"/>
        </w:rPr>
        <w:lastRenderedPageBreak/>
        <w:t>Refer to Appendix II for samples for which limits can be applied to</w:t>
      </w:r>
    </w:p>
    <w:p w:rsidRPr="00F96D68" w:rsidR="00BF5AD8" w:rsidP="00AF1DA1" w:rsidRDefault="00BF5AD8" w14:paraId="4FC11FA8" w14:textId="77777777">
      <w:pPr>
        <w:spacing w:after="0" w:line="240" w:lineRule="auto"/>
        <w:jc w:val="both"/>
        <w:rPr>
          <w:rFonts w:asciiTheme="minorBidi" w:hAnsiTheme="minorBidi"/>
          <w:b/>
          <w:i/>
          <w:sz w:val="20"/>
        </w:rPr>
      </w:pPr>
    </w:p>
    <w:p w:rsidRPr="006F16DE" w:rsidR="00E44203" w:rsidP="00E44203" w:rsidRDefault="00E44203" w14:paraId="4543D8F5" w14:textId="77777777">
      <w:pPr>
        <w:pStyle w:val="Heading1"/>
      </w:pPr>
      <w:bookmarkStart w:name="_Toc204172516" w:id="18"/>
      <w:bookmarkStart w:name="_Toc199430638" w:id="19"/>
      <w:bookmarkStart w:name="_Toc208216201" w:id="20"/>
      <w:r w:rsidRPr="006F16DE">
        <w:t>7. Governance</w:t>
      </w:r>
      <w:bookmarkEnd w:id="18"/>
    </w:p>
    <w:bookmarkEnd w:id="19"/>
    <w:bookmarkEnd w:id="20"/>
    <w:p w:rsidRPr="00F96D68" w:rsidR="00E44203" w:rsidP="00D56992" w:rsidRDefault="00500268" w14:paraId="51A1BC83" w14:textId="2AC1A721">
      <w:pPr>
        <w:spacing w:after="200" w:line="276" w:lineRule="auto"/>
        <w:jc w:val="both"/>
        <w:rPr>
          <w:rFonts w:asciiTheme="minorBidi" w:hAnsiTheme="minorBidi"/>
          <w:sz w:val="20"/>
          <w:szCs w:val="20"/>
        </w:rPr>
      </w:pPr>
      <w:r>
        <w:rPr>
          <w:rFonts w:asciiTheme="minorBidi" w:hAnsiTheme="minorBidi"/>
          <w:sz w:val="20"/>
        </w:rPr>
        <w:t>Enpara Bank’</w:t>
      </w:r>
      <w:r w:rsidR="00E44203">
        <w:rPr>
          <w:rFonts w:asciiTheme="minorBidi" w:hAnsiTheme="minorBidi"/>
          <w:sz w:val="20"/>
        </w:rPr>
        <w:t>s</w:t>
      </w:r>
      <w:r w:rsidRPr="006F16DE" w:rsidR="00E44203">
        <w:rPr>
          <w:rFonts w:asciiTheme="minorBidi" w:hAnsiTheme="minorBidi"/>
          <w:sz w:val="20"/>
          <w:szCs w:val="20"/>
        </w:rPr>
        <w:t xml:space="preserve"> Board of Directors and senior management are committed to the effective implementation of this policy. They provide oversight and ensure that adequate resources are allocated to financial crime prevention efforts. Moreover, as delegated by the board, prior approval of Compliance and Senior Management is mandatory for PEP customers or other customers from countries, businesses and products with the greatest risk of money-laundering/terrorism financing. Our governance structure includes regular reviews of our financial crime policies and procedures, as well as ongoing monitoring of our compliance with regulatory requirements.</w:t>
      </w:r>
    </w:p>
    <w:p w:rsidRPr="006F16DE" w:rsidR="00E44203" w:rsidP="00E44203" w:rsidRDefault="00E44203" w14:paraId="150CEB0D" w14:textId="77777777">
      <w:pPr>
        <w:pStyle w:val="Heading1"/>
      </w:pPr>
      <w:bookmarkStart w:name="_Toc204172517" w:id="21"/>
      <w:bookmarkStart w:name="_Toc199430639" w:id="22"/>
      <w:bookmarkStart w:name="_Toc208216202" w:id="23"/>
      <w:r w:rsidRPr="006F16DE">
        <w:t>8. Continuous Improvement</w:t>
      </w:r>
      <w:bookmarkEnd w:id="21"/>
    </w:p>
    <w:bookmarkEnd w:id="22"/>
    <w:bookmarkEnd w:id="23"/>
    <w:p w:rsidRPr="00F96D68" w:rsidR="00E44203" w:rsidP="00D56992" w:rsidRDefault="00500268" w14:paraId="0F3C491A" w14:textId="5C6578E3">
      <w:pPr>
        <w:spacing w:after="200" w:line="276" w:lineRule="auto"/>
        <w:jc w:val="both"/>
        <w:rPr>
          <w:rFonts w:asciiTheme="minorBidi" w:hAnsiTheme="minorBidi"/>
          <w:sz w:val="20"/>
          <w:szCs w:val="20"/>
        </w:rPr>
      </w:pPr>
      <w:r>
        <w:rPr>
          <w:rFonts w:asciiTheme="minorBidi" w:hAnsiTheme="minorBidi"/>
          <w:sz w:val="20"/>
        </w:rPr>
        <w:t>Enpara Bank</w:t>
      </w:r>
      <w:r w:rsidR="00E44203">
        <w:rPr>
          <w:rFonts w:asciiTheme="minorBidi" w:hAnsiTheme="minorBidi"/>
          <w:sz w:val="20"/>
        </w:rPr>
        <w:t xml:space="preserve"> </w:t>
      </w:r>
      <w:r w:rsidRPr="006F16DE" w:rsidR="00E44203">
        <w:rPr>
          <w:rFonts w:asciiTheme="minorBidi" w:hAnsiTheme="minorBidi"/>
          <w:sz w:val="20"/>
          <w:szCs w:val="20"/>
        </w:rPr>
        <w:t>is dedicated to continuously improving its financial crime prevention measures. We regularly review and update our policies, procedures, systems and controls to adapt to emerging risks and regulatory changes. Our commitment to continuous improvement ensures that we remain at the forefront of financial crime prevention, leveraging the latest technologies and best practices to protect our stakeholders.</w:t>
      </w:r>
    </w:p>
    <w:p w:rsidRPr="006F16DE" w:rsidR="00331BA3" w:rsidP="00331BA3" w:rsidRDefault="00331BA3" w14:paraId="22D2FC4F" w14:textId="77777777">
      <w:pPr>
        <w:pStyle w:val="Heading1"/>
      </w:pPr>
      <w:bookmarkStart w:name="_Toc204172518" w:id="24"/>
      <w:bookmarkStart w:name="_Toc199430640" w:id="25"/>
      <w:bookmarkStart w:name="_Toc208216203" w:id="26"/>
      <w:r w:rsidRPr="006F16DE">
        <w:t>9. Conclusion</w:t>
      </w:r>
      <w:bookmarkEnd w:id="24"/>
    </w:p>
    <w:bookmarkEnd w:id="25"/>
    <w:bookmarkEnd w:id="26"/>
    <w:p w:rsidRPr="006F16DE" w:rsidR="00331BA3" w:rsidP="00331BA3" w:rsidRDefault="00500268" w14:paraId="4490DB39" w14:textId="4049944D">
      <w:pPr>
        <w:spacing w:after="200" w:line="276" w:lineRule="auto"/>
        <w:jc w:val="both"/>
        <w:rPr>
          <w:rFonts w:asciiTheme="minorBidi" w:hAnsiTheme="minorBidi"/>
          <w:sz w:val="20"/>
          <w:szCs w:val="20"/>
        </w:rPr>
      </w:pPr>
      <w:r>
        <w:rPr>
          <w:rFonts w:asciiTheme="minorBidi" w:hAnsiTheme="minorBidi"/>
          <w:sz w:val="20"/>
        </w:rPr>
        <w:t>Enpara Bank’</w:t>
      </w:r>
      <w:r w:rsidR="00331BA3">
        <w:rPr>
          <w:rFonts w:asciiTheme="minorBidi" w:hAnsiTheme="minorBidi"/>
          <w:sz w:val="20"/>
        </w:rPr>
        <w:t xml:space="preserve">s </w:t>
      </w:r>
      <w:r w:rsidRPr="006F16DE" w:rsidR="00331BA3">
        <w:rPr>
          <w:rFonts w:asciiTheme="minorBidi" w:hAnsiTheme="minorBidi"/>
          <w:sz w:val="20"/>
          <w:szCs w:val="20"/>
        </w:rPr>
        <w:t>FCRAS reflects our unwavering commitment to maintaining a safe and secure financial sector environment. We aim to protect our stakeholders and uphold the integrity of the financial system. Our comprehensive approach to financial crime prevention ensures that we are well equipped to address the challenges of an ever-evolving threat landscape, safeguarding the trust and confidence of our stakeholders, customers and partners.</w:t>
      </w:r>
    </w:p>
    <w:p w:rsidRPr="00F96D68" w:rsidR="00331BA3" w:rsidP="00E81FB4" w:rsidRDefault="00331BA3" w14:paraId="083B4DAF" w14:textId="77777777">
      <w:pPr>
        <w:spacing w:after="200" w:line="276" w:lineRule="auto"/>
        <w:jc w:val="both"/>
        <w:rPr>
          <w:rFonts w:asciiTheme="minorBidi" w:hAnsiTheme="minorBidi"/>
          <w:sz w:val="20"/>
          <w:szCs w:val="20"/>
        </w:rPr>
      </w:pPr>
    </w:p>
    <w:p w:rsidR="002A7521" w:rsidP="00D56992" w:rsidRDefault="002A7521" w14:paraId="5D4DF21C" w14:textId="124DFF88">
      <w:pPr>
        <w:spacing w:after="200" w:line="276" w:lineRule="auto"/>
        <w:jc w:val="both"/>
        <w:rPr>
          <w:rFonts w:asciiTheme="minorBidi" w:hAnsiTheme="minorBidi"/>
          <w:sz w:val="20"/>
          <w:szCs w:val="20"/>
        </w:rPr>
      </w:pPr>
    </w:p>
    <w:p w:rsidR="00331BA3" w:rsidP="00D56992" w:rsidRDefault="00331BA3" w14:paraId="0A007AA9" w14:textId="77777777">
      <w:pPr>
        <w:spacing w:after="200" w:line="276" w:lineRule="auto"/>
        <w:jc w:val="both"/>
        <w:rPr>
          <w:rFonts w:asciiTheme="minorBidi" w:hAnsiTheme="minorBidi"/>
          <w:sz w:val="20"/>
          <w:szCs w:val="20"/>
        </w:rPr>
      </w:pPr>
    </w:p>
    <w:p w:rsidR="00331BA3" w:rsidP="00D56992" w:rsidRDefault="00331BA3" w14:paraId="7C4D01FA" w14:textId="77777777">
      <w:pPr>
        <w:spacing w:after="200" w:line="276" w:lineRule="auto"/>
        <w:jc w:val="both"/>
        <w:rPr>
          <w:rFonts w:asciiTheme="minorBidi" w:hAnsiTheme="minorBidi"/>
          <w:sz w:val="20"/>
          <w:szCs w:val="20"/>
        </w:rPr>
      </w:pPr>
    </w:p>
    <w:p w:rsidR="00331BA3" w:rsidP="00D56992" w:rsidRDefault="00331BA3" w14:paraId="5BC2492F" w14:textId="77777777">
      <w:pPr>
        <w:spacing w:after="200" w:line="276" w:lineRule="auto"/>
        <w:jc w:val="both"/>
        <w:rPr>
          <w:rFonts w:asciiTheme="minorBidi" w:hAnsiTheme="minorBidi"/>
          <w:sz w:val="20"/>
          <w:szCs w:val="20"/>
        </w:rPr>
      </w:pPr>
    </w:p>
    <w:p w:rsidRPr="00F96D68" w:rsidR="00331BA3" w:rsidP="00D56992" w:rsidRDefault="00331BA3" w14:paraId="0FD88DA0" w14:textId="77777777">
      <w:pPr>
        <w:spacing w:after="200" w:line="276" w:lineRule="auto"/>
        <w:jc w:val="both"/>
        <w:rPr>
          <w:rFonts w:asciiTheme="minorBidi" w:hAnsiTheme="minorBidi"/>
          <w:sz w:val="20"/>
          <w:szCs w:val="20"/>
        </w:rPr>
      </w:pPr>
    </w:p>
    <w:p w:rsidRPr="00F96D68" w:rsidR="002A7521" w:rsidP="00D56992" w:rsidRDefault="002A7521" w14:paraId="5550B256" w14:textId="13D67459">
      <w:pPr>
        <w:spacing w:after="200" w:line="276" w:lineRule="auto"/>
        <w:jc w:val="both"/>
        <w:rPr>
          <w:rFonts w:asciiTheme="minorBidi" w:hAnsiTheme="minorBidi"/>
          <w:sz w:val="20"/>
          <w:szCs w:val="20"/>
        </w:rPr>
      </w:pPr>
    </w:p>
    <w:p w:rsidRPr="00F96D68" w:rsidR="002A7521" w:rsidP="00D56992" w:rsidRDefault="002A7521" w14:paraId="253A2B69" w14:textId="43A03402">
      <w:pPr>
        <w:spacing w:after="200" w:line="276" w:lineRule="auto"/>
        <w:jc w:val="both"/>
        <w:rPr>
          <w:rFonts w:asciiTheme="minorBidi" w:hAnsiTheme="minorBidi"/>
          <w:sz w:val="20"/>
          <w:szCs w:val="20"/>
        </w:rPr>
      </w:pPr>
    </w:p>
    <w:p w:rsidRPr="00F96D68" w:rsidR="002A7521" w:rsidP="00D56992" w:rsidRDefault="002A7521" w14:paraId="73F81AE6" w14:textId="102CD228">
      <w:pPr>
        <w:spacing w:after="200" w:line="276" w:lineRule="auto"/>
        <w:jc w:val="both"/>
        <w:rPr>
          <w:rFonts w:asciiTheme="minorBidi" w:hAnsiTheme="minorBidi"/>
          <w:sz w:val="20"/>
          <w:szCs w:val="20"/>
        </w:rPr>
      </w:pPr>
    </w:p>
    <w:p w:rsidRPr="00F96D68" w:rsidR="002A7521" w:rsidP="00D56992" w:rsidRDefault="002A7521" w14:paraId="228711E3" w14:textId="32C604A3">
      <w:pPr>
        <w:spacing w:after="200" w:line="276" w:lineRule="auto"/>
        <w:jc w:val="both"/>
        <w:rPr>
          <w:rFonts w:asciiTheme="minorBidi" w:hAnsiTheme="minorBidi"/>
          <w:sz w:val="20"/>
          <w:szCs w:val="20"/>
        </w:rPr>
      </w:pPr>
    </w:p>
    <w:p w:rsidRPr="00F96D68" w:rsidR="002A7521" w:rsidP="00D56992" w:rsidRDefault="002A7521" w14:paraId="71ACAC84" w14:textId="086332DA">
      <w:pPr>
        <w:spacing w:after="200" w:line="276" w:lineRule="auto"/>
        <w:jc w:val="both"/>
        <w:rPr>
          <w:rFonts w:asciiTheme="minorBidi" w:hAnsiTheme="minorBidi"/>
          <w:sz w:val="20"/>
          <w:szCs w:val="20"/>
        </w:rPr>
      </w:pPr>
    </w:p>
    <w:p w:rsidRPr="00F96D68" w:rsidR="002A7521" w:rsidP="00D56992" w:rsidRDefault="002A7521" w14:paraId="60A28213" w14:textId="55650B89">
      <w:pPr>
        <w:spacing w:after="200" w:line="276" w:lineRule="auto"/>
        <w:jc w:val="both"/>
        <w:rPr>
          <w:rFonts w:asciiTheme="minorBidi" w:hAnsiTheme="minorBidi"/>
          <w:sz w:val="20"/>
          <w:szCs w:val="20"/>
        </w:rPr>
      </w:pPr>
    </w:p>
    <w:p w:rsidRPr="00F96D68" w:rsidR="002A7521" w:rsidP="00D56992" w:rsidRDefault="002A7521" w14:paraId="6DAB9235" w14:textId="6A14E79A">
      <w:pPr>
        <w:spacing w:after="200" w:line="276" w:lineRule="auto"/>
        <w:jc w:val="both"/>
        <w:rPr>
          <w:rFonts w:asciiTheme="minorBidi" w:hAnsiTheme="minorBidi"/>
          <w:sz w:val="20"/>
          <w:szCs w:val="20"/>
        </w:rPr>
      </w:pPr>
    </w:p>
    <w:p w:rsidRPr="006F16DE" w:rsidR="00331BA3" w:rsidP="00331BA3" w:rsidRDefault="00331BA3" w14:paraId="294CCB75" w14:textId="77777777">
      <w:pPr>
        <w:pStyle w:val="Heading1"/>
      </w:pPr>
      <w:bookmarkStart w:name="_Toc204172519" w:id="27"/>
      <w:bookmarkStart w:name="_Toc199430641" w:id="28"/>
      <w:bookmarkStart w:name="_Toc208216204" w:id="29"/>
      <w:r w:rsidRPr="006F16DE">
        <w:lastRenderedPageBreak/>
        <w:t>Appendix I</w:t>
      </w:r>
      <w:bookmarkEnd w:id="27"/>
    </w:p>
    <w:tbl>
      <w:tblPr>
        <w:tblW w:w="11708" w:type="dxa"/>
        <w:tblInd w:w="-910" w:type="dxa"/>
        <w:tblLook w:val="04A0" w:firstRow="1" w:lastRow="0" w:firstColumn="1" w:lastColumn="0" w:noHBand="0" w:noVBand="1"/>
      </w:tblPr>
      <w:tblGrid>
        <w:gridCol w:w="1547"/>
        <w:gridCol w:w="1314"/>
        <w:gridCol w:w="1415"/>
        <w:gridCol w:w="1563"/>
        <w:gridCol w:w="176"/>
        <w:gridCol w:w="949"/>
        <w:gridCol w:w="274"/>
        <w:gridCol w:w="1710"/>
        <w:gridCol w:w="1197"/>
        <w:gridCol w:w="1563"/>
      </w:tblGrid>
      <w:tr w:rsidRPr="00F96D68" w:rsidR="002A7521" w:rsidTr="00DC3AC0" w14:paraId="7725334C" w14:textId="77777777">
        <w:trPr>
          <w:trHeight w:val="132"/>
        </w:trPr>
        <w:tc>
          <w:tcPr>
            <w:tcW w:w="11708" w:type="dxa"/>
            <w:gridSpan w:val="10"/>
            <w:tcBorders>
              <w:top w:val="single" w:color="auto" w:sz="8" w:space="0"/>
              <w:left w:val="single" w:color="auto" w:sz="8" w:space="0"/>
              <w:bottom w:val="single" w:color="auto" w:sz="8" w:space="0"/>
              <w:right w:val="single" w:color="000000" w:sz="8" w:space="0"/>
            </w:tcBorders>
            <w:shd w:val="clear" w:color="000000" w:fill="44546A"/>
            <w:vAlign w:val="center"/>
            <w:hideMark/>
          </w:tcPr>
          <w:bookmarkEnd w:id="28"/>
          <w:bookmarkEnd w:id="29"/>
          <w:p w:rsidRPr="00F96D68" w:rsidR="002A7521" w:rsidP="002A7521" w:rsidRDefault="00331BA3" w14:paraId="0744D828" w14:textId="140BFC24">
            <w:pPr>
              <w:spacing w:after="0" w:line="240" w:lineRule="auto"/>
              <w:jc w:val="center"/>
              <w:rPr>
                <w:rFonts w:ascii="Arial" w:hAnsi="Arial" w:eastAsia="Times New Roman" w:cs="Arial"/>
                <w:color w:val="FFFFFF"/>
                <w:sz w:val="14"/>
                <w:szCs w:val="14"/>
              </w:rPr>
            </w:pPr>
            <w:r w:rsidRPr="006F16DE">
              <w:rPr>
                <w:rFonts w:ascii="Arial" w:hAnsi="Arial" w:eastAsia="Times New Roman" w:cs="Arial"/>
                <w:color w:val="FFFFFF"/>
                <w:sz w:val="14"/>
                <w:szCs w:val="14"/>
              </w:rPr>
              <w:t>Financial Crime Risk Appetite Classification (as per QNB Group Risk Appetite Statement)</w:t>
            </w:r>
          </w:p>
        </w:tc>
      </w:tr>
      <w:tr w:rsidRPr="00F96D68" w:rsidR="00610B6B" w:rsidTr="00DC3AC0" w14:paraId="1D1A59AA" w14:textId="77777777">
        <w:trPr>
          <w:trHeight w:val="132"/>
        </w:trPr>
        <w:tc>
          <w:tcPr>
            <w:tcW w:w="2861" w:type="dxa"/>
            <w:gridSpan w:val="2"/>
            <w:tcBorders>
              <w:top w:val="single" w:color="auto" w:sz="8" w:space="0"/>
              <w:left w:val="single" w:color="auto" w:sz="8" w:space="0"/>
              <w:bottom w:val="single" w:color="auto" w:sz="8" w:space="0"/>
              <w:right w:val="single" w:color="000000" w:sz="8" w:space="0"/>
            </w:tcBorders>
            <w:shd w:val="clear" w:color="000000" w:fill="D9D9D9"/>
            <w:vAlign w:val="center"/>
            <w:hideMark/>
          </w:tcPr>
          <w:p w:rsidRPr="00F96D68" w:rsidR="00610B6B" w:rsidP="00610B6B" w:rsidRDefault="00610B6B" w14:paraId="692DD05C" w14:textId="2AD4A76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Customer Risk</w:t>
            </w:r>
          </w:p>
        </w:tc>
        <w:tc>
          <w:tcPr>
            <w:tcW w:w="2978" w:type="dxa"/>
            <w:gridSpan w:val="2"/>
            <w:tcBorders>
              <w:top w:val="single" w:color="auto" w:sz="8" w:space="0"/>
              <w:left w:val="nil"/>
              <w:bottom w:val="single" w:color="auto" w:sz="8" w:space="0"/>
              <w:right w:val="single" w:color="000000" w:sz="8" w:space="0"/>
            </w:tcBorders>
            <w:shd w:val="clear" w:color="000000" w:fill="D9D9D9"/>
            <w:vAlign w:val="center"/>
            <w:hideMark/>
          </w:tcPr>
          <w:p w:rsidRPr="00F96D68" w:rsidR="00610B6B" w:rsidP="00610B6B" w:rsidRDefault="00610B6B" w14:paraId="1D9F4D0A" w14:textId="3B26E858">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Country Risk</w:t>
            </w:r>
          </w:p>
        </w:tc>
        <w:tc>
          <w:tcPr>
            <w:tcW w:w="3109" w:type="dxa"/>
            <w:gridSpan w:val="4"/>
            <w:tcBorders>
              <w:top w:val="single" w:color="auto" w:sz="8" w:space="0"/>
              <w:left w:val="nil"/>
              <w:bottom w:val="single" w:color="auto" w:sz="8" w:space="0"/>
              <w:right w:val="single" w:color="000000" w:sz="8" w:space="0"/>
            </w:tcBorders>
            <w:shd w:val="clear" w:color="000000" w:fill="D9D9D9"/>
            <w:vAlign w:val="center"/>
            <w:hideMark/>
          </w:tcPr>
          <w:p w:rsidRPr="00F96D68" w:rsidR="00610B6B" w:rsidP="00610B6B" w:rsidRDefault="00610B6B" w14:paraId="035B3687" w14:textId="5EAC4E3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Product Service Risk</w:t>
            </w:r>
          </w:p>
        </w:tc>
        <w:tc>
          <w:tcPr>
            <w:tcW w:w="2760" w:type="dxa"/>
            <w:gridSpan w:val="2"/>
            <w:tcBorders>
              <w:top w:val="single" w:color="auto" w:sz="8" w:space="0"/>
              <w:left w:val="nil"/>
              <w:bottom w:val="single" w:color="auto" w:sz="8" w:space="0"/>
              <w:right w:val="single" w:color="000000" w:sz="8" w:space="0"/>
            </w:tcBorders>
            <w:shd w:val="clear" w:color="000000" w:fill="D9D9D9"/>
            <w:vAlign w:val="center"/>
            <w:hideMark/>
          </w:tcPr>
          <w:p w:rsidRPr="00F96D68" w:rsidR="00610B6B" w:rsidP="00610B6B" w:rsidRDefault="00610B6B" w14:paraId="5D478DDE" w14:textId="13414A15">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New Tech/Delivery Channels</w:t>
            </w:r>
          </w:p>
        </w:tc>
      </w:tr>
      <w:tr w:rsidRPr="00F96D68" w:rsidR="00610B6B" w:rsidTr="00CF750D" w14:paraId="4CF54E5E" w14:textId="77777777">
        <w:trPr>
          <w:trHeight w:val="132"/>
        </w:trPr>
        <w:tc>
          <w:tcPr>
            <w:tcW w:w="1547" w:type="dxa"/>
            <w:tcBorders>
              <w:top w:val="nil"/>
              <w:left w:val="single" w:color="auto" w:sz="8" w:space="0"/>
              <w:bottom w:val="single" w:color="auto" w:sz="8" w:space="0"/>
              <w:right w:val="single" w:color="auto" w:sz="8" w:space="0"/>
            </w:tcBorders>
            <w:shd w:val="clear" w:color="000000" w:fill="B4C6E7"/>
            <w:vAlign w:val="center"/>
            <w:hideMark/>
          </w:tcPr>
          <w:p w:rsidRPr="00F96D68" w:rsidR="00610B6B" w:rsidP="00610B6B" w:rsidRDefault="00610B6B" w14:paraId="16EE8456" w14:textId="4AC3C0A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Risk Type</w:t>
            </w:r>
          </w:p>
        </w:tc>
        <w:tc>
          <w:tcPr>
            <w:tcW w:w="1314" w:type="dxa"/>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575785D9" w14:textId="52C282E9">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Due Diligence</w:t>
            </w:r>
          </w:p>
        </w:tc>
        <w:tc>
          <w:tcPr>
            <w:tcW w:w="1415" w:type="dxa"/>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53B6AEEC" w14:textId="0B24FFF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Risk Type</w:t>
            </w:r>
          </w:p>
        </w:tc>
        <w:tc>
          <w:tcPr>
            <w:tcW w:w="0" w:type="auto"/>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22616C74" w14:textId="257D2A2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Due Diligence</w:t>
            </w:r>
          </w:p>
        </w:tc>
        <w:tc>
          <w:tcPr>
            <w:tcW w:w="1399" w:type="dxa"/>
            <w:gridSpan w:val="3"/>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0E8A5404" w14:textId="4DC62E0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Risk Type</w:t>
            </w:r>
          </w:p>
        </w:tc>
        <w:tc>
          <w:tcPr>
            <w:tcW w:w="1710" w:type="dxa"/>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6BC5E7EE" w14:textId="46E1581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Due Diligence</w:t>
            </w:r>
          </w:p>
        </w:tc>
        <w:tc>
          <w:tcPr>
            <w:tcW w:w="1197" w:type="dxa"/>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225F846F" w14:textId="4DFCC95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Risk Type</w:t>
            </w:r>
          </w:p>
        </w:tc>
        <w:tc>
          <w:tcPr>
            <w:tcW w:w="1563" w:type="dxa"/>
            <w:tcBorders>
              <w:top w:val="nil"/>
              <w:left w:val="nil"/>
              <w:bottom w:val="single" w:color="auto" w:sz="8" w:space="0"/>
              <w:right w:val="single" w:color="auto" w:sz="8" w:space="0"/>
            </w:tcBorders>
            <w:shd w:val="clear" w:color="000000" w:fill="B4C6E7"/>
            <w:vAlign w:val="center"/>
            <w:hideMark/>
          </w:tcPr>
          <w:p w:rsidRPr="00F96D68" w:rsidR="00610B6B" w:rsidP="00610B6B" w:rsidRDefault="00610B6B" w14:paraId="45684A40" w14:textId="75C3D7E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Due Diligence</w:t>
            </w:r>
          </w:p>
        </w:tc>
      </w:tr>
      <w:tr w:rsidRPr="00F96D68" w:rsidR="00610B6B" w:rsidTr="00CF750D" w14:paraId="108CBD44"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79CC532C" w14:textId="753FA57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Designated Person</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2E9FB5D2" w14:textId="25BAD41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415"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00F166D" w14:textId="0B68445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Comprehensive Sanctions</w:t>
            </w:r>
          </w:p>
        </w:tc>
        <w:tc>
          <w:tcPr>
            <w:tcW w:w="0" w:type="auto"/>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DDC24F9" w14:textId="3A117A7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399" w:type="dxa"/>
            <w:gridSpan w:val="3"/>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218321FA" w14:textId="3043913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Cross-Border Transfers</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3EBB2C2B" w14:textId="2B25CDB5">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197"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2D9A37E0" w14:textId="6451687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Internet &amp; Mobile Banking</w:t>
            </w:r>
          </w:p>
        </w:tc>
        <w:tc>
          <w:tcPr>
            <w:tcW w:w="1563"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05E6671" w14:textId="2221F45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r>
      <w:tr w:rsidRPr="00F96D68" w:rsidR="00610B6B" w:rsidTr="00CF750D" w14:paraId="7845B3B0"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0245A6BC" w14:textId="0BA7E6F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Internal Compliance Lists</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51A2348" w14:textId="4354ED3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6C868B6" w14:textId="2C1C71F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FATF - Call for Action</w:t>
            </w:r>
          </w:p>
        </w:tc>
        <w:tc>
          <w:tcPr>
            <w:tcW w:w="0" w:type="auto"/>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2165D9A6" w14:textId="5A4D635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399" w:type="dxa"/>
            <w:gridSpan w:val="3"/>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5B5B6C60" w14:textId="65E9643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Bill Discounting</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5D598C1E" w14:textId="45B74B4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F6154A8" w14:textId="23CEE75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 xml:space="preserve">Open banking / API </w:t>
            </w:r>
          </w:p>
        </w:tc>
        <w:tc>
          <w:tcPr>
            <w:tcW w:w="1563"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3F9913D" w14:textId="538CB4B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r>
      <w:tr w:rsidRPr="00F96D68" w:rsidR="00610B6B" w:rsidTr="00CF750D" w14:paraId="22A93E90"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250B61AC" w14:textId="57FDA35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Exchange Offices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40AECB57" w14:textId="3870897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0CBBA9DE" w14:textId="5057596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FATF Monitored Jurisdictions</w:t>
            </w:r>
          </w:p>
        </w:tc>
        <w:tc>
          <w:tcPr>
            <w:tcW w:w="0" w:type="auto"/>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6705449" w14:textId="420E7C58">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c>
          <w:tcPr>
            <w:tcW w:w="1399" w:type="dxa"/>
            <w:gridSpan w:val="3"/>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E5E358E" w14:textId="40C51C5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Bill Payments</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2F397BE7" w14:textId="64DC8C9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B531560" w14:textId="7C0B7BE3">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ATM</w:t>
            </w:r>
          </w:p>
        </w:tc>
        <w:tc>
          <w:tcPr>
            <w:tcW w:w="1563"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D67D027" w14:textId="5F9CA248">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r>
      <w:tr w:rsidRPr="00F96D68" w:rsidR="00610B6B" w:rsidTr="00CF750D" w14:paraId="02D8879A"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51D1DE59" w14:textId="170A96E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Correspondent Banking</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7B4BD378" w14:textId="0C4AC66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26FCAC50" w14:textId="2BA910C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Offshore/ Tax Heavens</w:t>
            </w:r>
          </w:p>
        </w:tc>
        <w:tc>
          <w:tcPr>
            <w:tcW w:w="0" w:type="auto"/>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466B4D82" w14:textId="0FF5ECE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c>
          <w:tcPr>
            <w:tcW w:w="1399" w:type="dxa"/>
            <w:gridSpan w:val="3"/>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D8942E7" w14:textId="2D8AA305">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Business Credit Card</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35D8671E" w14:textId="3A9CB96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9F8C383" w14:textId="298276C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Call Centre</w:t>
            </w:r>
          </w:p>
        </w:tc>
        <w:tc>
          <w:tcPr>
            <w:tcW w:w="1563"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7715BB8" w14:textId="0D142EA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r>
      <w:tr w:rsidRPr="002327B6" w:rsidR="00610B6B" w:rsidTr="00CF750D" w14:paraId="0573CFE1"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47D6C5AF" w14:textId="5A4F700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Virtual Assets Service Providers (VASPs)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156AA0E6" w14:textId="3489737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415"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36AB4543" w14:textId="181F7B8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QNB Country Risk (High &amp; Very High)</w:t>
            </w:r>
          </w:p>
        </w:tc>
        <w:tc>
          <w:tcPr>
            <w:tcW w:w="0" w:type="auto"/>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38CED89" w14:textId="0AD338C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c>
          <w:tcPr>
            <w:tcW w:w="1399" w:type="dxa"/>
            <w:gridSpan w:val="3"/>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30818493" w14:textId="6435BD0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Business Loan</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73C7D324" w14:textId="7CA178C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single" w:color="auto" w:sz="8" w:space="0"/>
              <w:right w:val="single" w:color="auto" w:sz="8" w:space="0"/>
            </w:tcBorders>
            <w:shd w:val="clear" w:color="auto" w:fill="auto"/>
            <w:vAlign w:val="center"/>
            <w:hideMark/>
          </w:tcPr>
          <w:p w:rsidRPr="00F31FC3" w:rsidR="00610B6B" w:rsidP="00610B6B" w:rsidRDefault="00610B6B" w14:paraId="53FC00D1" w14:textId="59A25B54">
            <w:pPr>
              <w:spacing w:after="0" w:line="240" w:lineRule="auto"/>
              <w:jc w:val="center"/>
              <w:rPr>
                <w:rFonts w:ascii="Arial" w:hAnsi="Arial" w:eastAsia="Times New Roman" w:cs="Arial"/>
                <w:color w:val="000000"/>
                <w:sz w:val="14"/>
                <w:szCs w:val="14"/>
                <w:highlight w:val="yellow"/>
              </w:rPr>
            </w:pPr>
            <w:r w:rsidRPr="006F16DE">
              <w:rPr>
                <w:rFonts w:ascii="Arial" w:hAnsi="Arial" w:eastAsia="Times New Roman" w:cs="Arial"/>
                <w:color w:val="000000"/>
                <w:sz w:val="14"/>
                <w:szCs w:val="14"/>
              </w:rPr>
              <w:t>Block Chain</w:t>
            </w:r>
          </w:p>
        </w:tc>
        <w:tc>
          <w:tcPr>
            <w:tcW w:w="1563"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05B82BC5" w14:textId="44968FD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r>
      <w:tr w:rsidRPr="00F96D68" w:rsidR="00610B6B" w:rsidTr="00CF750D" w14:paraId="22649A6F"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46FA9DC4" w14:textId="5F18FB4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Non-Profit Organizations (NPOs)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1783366E" w14:textId="5C6CBA4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FCBE5B7" w14:textId="5232BCF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QNB Country Risk (Medium &amp; Low)</w:t>
            </w:r>
          </w:p>
        </w:tc>
        <w:tc>
          <w:tcPr>
            <w:tcW w:w="0" w:type="auto"/>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C386975" w14:textId="7F88FA2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399" w:type="dxa"/>
            <w:gridSpan w:val="3"/>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B328E63" w14:textId="44F22FA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Call Deposit Account</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D8D408E" w14:textId="1A1B8A4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5EF28A8F" w14:textId="2D940FB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Digital Onboarding (Non F2F)</w:t>
            </w:r>
          </w:p>
        </w:tc>
        <w:tc>
          <w:tcPr>
            <w:tcW w:w="1563"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9BA7D46" w14:textId="242AF3F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Enhanced</w:t>
            </w:r>
          </w:p>
        </w:tc>
      </w:tr>
      <w:tr w:rsidRPr="00F31FC3" w:rsidR="00610B6B" w:rsidTr="00CF750D" w14:paraId="31A0EC90" w14:textId="77777777">
        <w:trPr>
          <w:trHeight w:val="257"/>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08854A0D" w14:textId="1EDDE51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Payment Services &amp; Electronic Money Institutions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7C769143" w14:textId="41AB144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6BAFAE8C"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4DC830C3"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14038514" w14:textId="5B34B41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Cash Deposit</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6151ABE" w14:textId="0FEEA6B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2327B6" w:rsidR="00610B6B" w:rsidP="00610B6B" w:rsidRDefault="00610B6B" w14:paraId="52AFD9FE" w14:textId="517E565A">
            <w:pPr>
              <w:spacing w:after="0" w:line="240" w:lineRule="auto"/>
              <w:jc w:val="center"/>
              <w:rPr>
                <w:rFonts w:ascii="Arial" w:hAnsi="Arial" w:eastAsia="Times New Roman" w:cs="Arial"/>
                <w:strike/>
                <w:color w:val="FF0000"/>
                <w:sz w:val="14"/>
                <w:szCs w:val="14"/>
                <w:highlight w:val="yellow"/>
              </w:rPr>
            </w:pPr>
          </w:p>
        </w:tc>
        <w:tc>
          <w:tcPr>
            <w:tcW w:w="1563" w:type="dxa"/>
            <w:tcBorders>
              <w:top w:val="nil"/>
              <w:left w:val="nil"/>
              <w:bottom w:val="nil"/>
              <w:right w:val="nil"/>
            </w:tcBorders>
            <w:shd w:val="clear" w:color="auto" w:fill="auto"/>
            <w:vAlign w:val="bottom"/>
            <w:hideMark/>
          </w:tcPr>
          <w:p w:rsidRPr="002327B6" w:rsidR="00610B6B" w:rsidP="00610B6B" w:rsidRDefault="00610B6B" w14:paraId="3F4ABF7D" w14:textId="76C3AA69">
            <w:pPr>
              <w:spacing w:after="0" w:line="240" w:lineRule="auto"/>
              <w:jc w:val="center"/>
              <w:rPr>
                <w:rFonts w:ascii="Arial" w:hAnsi="Arial" w:eastAsia="Times New Roman" w:cs="Arial"/>
                <w:strike/>
                <w:color w:val="FF0000"/>
                <w:sz w:val="14"/>
                <w:szCs w:val="14"/>
                <w:highlight w:val="yellow"/>
              </w:rPr>
            </w:pPr>
          </w:p>
        </w:tc>
      </w:tr>
      <w:tr w:rsidRPr="00F96D68" w:rsidR="00610B6B" w:rsidTr="00CF750D" w14:paraId="3DECF1C3"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05A0151A" w14:textId="4B6D77A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DNFBP-Designated Non-Financial Businesses and Professions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6956302E" w14:textId="419519A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2A833538"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069D7D63"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62E002D9" w14:textId="1006653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Cash Withdrawal</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6DA2E66" w14:textId="60662D1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3B32EAA7"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2B60DC37" w14:textId="77777777">
            <w:pPr>
              <w:spacing w:after="0" w:line="240" w:lineRule="auto"/>
              <w:rPr>
                <w:rFonts w:ascii="Times New Roman" w:hAnsi="Times New Roman" w:eastAsia="Times New Roman" w:cs="Times New Roman"/>
                <w:sz w:val="14"/>
                <w:szCs w:val="14"/>
              </w:rPr>
            </w:pPr>
          </w:p>
        </w:tc>
      </w:tr>
      <w:tr w:rsidRPr="00F96D68" w:rsidR="00610B6B" w:rsidTr="00CF750D" w14:paraId="302ADC04" w14:textId="77777777">
        <w:trPr>
          <w:trHeight w:val="257"/>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4603A021" w14:textId="4ADC04E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Precious Metals Industry (Jewelry, Brokers. Etc.)</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1422E71C" w14:textId="75B5B57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1A08DDD6"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61332B37"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030DB9F8" w14:textId="56FF670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Cheque Deposit</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40A42288" w14:textId="1F1F6403">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73CD812A"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2DE11D39" w14:textId="77777777">
            <w:pPr>
              <w:spacing w:after="0" w:line="240" w:lineRule="auto"/>
              <w:rPr>
                <w:rFonts w:ascii="Times New Roman" w:hAnsi="Times New Roman" w:eastAsia="Times New Roman" w:cs="Times New Roman"/>
                <w:sz w:val="14"/>
                <w:szCs w:val="14"/>
              </w:rPr>
            </w:pPr>
          </w:p>
        </w:tc>
      </w:tr>
      <w:tr w:rsidRPr="00F96D68" w:rsidR="00610B6B" w:rsidTr="00CF750D" w14:paraId="6E4F4AF1"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774743CA" w14:textId="124C87F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Traders in Automobiles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0400A162" w14:textId="1D096733">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273BEFF7"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41719585"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3D81F166" w14:textId="0CC8E02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Cheque Encashment</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3D16A6FA" w14:textId="114BFCB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2910A541"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7EA07FAF" w14:textId="77777777">
            <w:pPr>
              <w:spacing w:after="0" w:line="240" w:lineRule="auto"/>
              <w:rPr>
                <w:rFonts w:ascii="Times New Roman" w:hAnsi="Times New Roman" w:eastAsia="Times New Roman" w:cs="Times New Roman"/>
                <w:sz w:val="14"/>
                <w:szCs w:val="14"/>
              </w:rPr>
            </w:pPr>
          </w:p>
        </w:tc>
      </w:tr>
      <w:tr w:rsidRPr="00F96D68" w:rsidR="00610B6B" w:rsidTr="00CF750D" w14:paraId="12EB0393"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72FAEED1" w14:textId="2B2B4D2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Non-Resident Customers</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1FA8BE17" w14:textId="373AB17F">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27913D11"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09E07E4F"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045A5AF8" w14:textId="61B82C0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Credit Facilities</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19608D66" w14:textId="717EE388">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F96D68" w:rsidR="00610B6B" w:rsidP="00610B6B" w:rsidRDefault="00610B6B" w14:paraId="281D4977"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069811AE" w14:textId="77777777">
            <w:pPr>
              <w:spacing w:after="0" w:line="240" w:lineRule="auto"/>
              <w:rPr>
                <w:rFonts w:ascii="Times New Roman" w:hAnsi="Times New Roman" w:eastAsia="Times New Roman" w:cs="Times New Roman"/>
                <w:sz w:val="14"/>
                <w:szCs w:val="14"/>
              </w:rPr>
            </w:pPr>
          </w:p>
        </w:tc>
      </w:tr>
      <w:tr w:rsidRPr="00F96D68" w:rsidR="00610B6B" w:rsidTr="00CF750D" w14:paraId="0A1D2667"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5CF4DD31" w14:textId="2BEBDF6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Private Banking</w:t>
            </w:r>
          </w:p>
        </w:tc>
        <w:tc>
          <w:tcPr>
            <w:tcW w:w="1314"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38D682E2" w14:textId="12E73EB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1867E907"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65636B9C"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3224371C" w14:textId="4C5E2F2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 xml:space="preserve">Crypto Assets </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3262F52E" w14:textId="5443ACE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197" w:type="dxa"/>
            <w:tcBorders>
              <w:top w:val="nil"/>
              <w:left w:val="nil"/>
              <w:bottom w:val="nil"/>
              <w:right w:val="nil"/>
            </w:tcBorders>
            <w:shd w:val="clear" w:color="auto" w:fill="auto"/>
            <w:vAlign w:val="bottom"/>
            <w:hideMark/>
          </w:tcPr>
          <w:p w:rsidRPr="00F96D68" w:rsidR="00610B6B" w:rsidP="00610B6B" w:rsidRDefault="00610B6B" w14:paraId="1964AE8B"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4688D340" w14:textId="77777777">
            <w:pPr>
              <w:spacing w:after="0" w:line="240" w:lineRule="auto"/>
              <w:rPr>
                <w:rFonts w:ascii="Times New Roman" w:hAnsi="Times New Roman" w:eastAsia="Times New Roman" w:cs="Times New Roman"/>
                <w:sz w:val="14"/>
                <w:szCs w:val="14"/>
              </w:rPr>
            </w:pPr>
          </w:p>
        </w:tc>
      </w:tr>
      <w:tr w:rsidRPr="00F96D68" w:rsidR="00610B6B" w:rsidTr="00CF750D" w14:paraId="2741919E"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1B570354" w14:textId="434C190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High-Net Worth Individuals</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7427730C" w14:textId="596984A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287582C8"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3F26EA07"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52ECF14C" w14:textId="4012C359">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Current Account</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66F1D9E2" w14:textId="2ADD0E8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674094CE"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33999DA5" w14:textId="77777777">
            <w:pPr>
              <w:spacing w:after="0" w:line="240" w:lineRule="auto"/>
              <w:rPr>
                <w:rFonts w:ascii="Times New Roman" w:hAnsi="Times New Roman" w:eastAsia="Times New Roman" w:cs="Times New Roman"/>
                <w:sz w:val="14"/>
                <w:szCs w:val="14"/>
              </w:rPr>
            </w:pPr>
          </w:p>
        </w:tc>
      </w:tr>
      <w:tr w:rsidRPr="00F96D68" w:rsidR="00610B6B" w:rsidTr="00CF750D" w14:paraId="4D34FB33"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197C299A" w14:textId="7D82A7F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Politically Exposed Persons (PEP)</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B54AC32" w14:textId="187333B5">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0A5EDD4C"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745C6BFF"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18A8091B" w14:textId="16937369">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Debit Card</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017200D7" w14:textId="31BF2FA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0D96FC25"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7453C838" w14:textId="77777777">
            <w:pPr>
              <w:spacing w:after="0" w:line="240" w:lineRule="auto"/>
              <w:rPr>
                <w:rFonts w:ascii="Times New Roman" w:hAnsi="Times New Roman" w:eastAsia="Times New Roman" w:cs="Times New Roman"/>
                <w:sz w:val="14"/>
                <w:szCs w:val="14"/>
              </w:rPr>
            </w:pPr>
          </w:p>
        </w:tc>
      </w:tr>
      <w:tr w:rsidRPr="00F96D68" w:rsidR="00610B6B" w:rsidTr="00CF750D" w14:paraId="26CDE2C9"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0495B683" w14:textId="0E93EF7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QNB Country Risk (Low &amp; Medium)</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7E87710A" w14:textId="5C565AE1">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415" w:type="dxa"/>
            <w:tcBorders>
              <w:top w:val="nil"/>
              <w:left w:val="nil"/>
              <w:bottom w:val="nil"/>
              <w:right w:val="nil"/>
            </w:tcBorders>
            <w:shd w:val="clear" w:color="auto" w:fill="auto"/>
            <w:vAlign w:val="bottom"/>
            <w:hideMark/>
          </w:tcPr>
          <w:p w:rsidRPr="00F96D68" w:rsidR="00610B6B" w:rsidP="00610B6B" w:rsidRDefault="00610B6B" w14:paraId="2D088857"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3B634740"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6AB12D53" w14:textId="77E961D8">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Domestic Transfers</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2A24C982" w14:textId="4F5BA23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60533978"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73D0A81A" w14:textId="77777777">
            <w:pPr>
              <w:spacing w:after="0" w:line="240" w:lineRule="auto"/>
              <w:rPr>
                <w:rFonts w:ascii="Times New Roman" w:hAnsi="Times New Roman" w:eastAsia="Times New Roman" w:cs="Times New Roman"/>
                <w:sz w:val="14"/>
                <w:szCs w:val="14"/>
              </w:rPr>
            </w:pPr>
          </w:p>
        </w:tc>
      </w:tr>
      <w:tr w:rsidRPr="00F96D68" w:rsidR="00610B6B" w:rsidTr="00CF750D" w14:paraId="78092C5F"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4381FDE1" w14:textId="0969FC0F">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QNB Country Risk (High)</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CF577CD" w14:textId="41F77F2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2001F63A"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064FC134"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3CB388DC" w14:textId="4ED5BB6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Donations</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E9636C3" w14:textId="78826BA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F96D68" w:rsidR="00610B6B" w:rsidP="00610B6B" w:rsidRDefault="00610B6B" w14:paraId="73BFC4AF"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1EE9525B" w14:textId="77777777">
            <w:pPr>
              <w:spacing w:after="0" w:line="240" w:lineRule="auto"/>
              <w:rPr>
                <w:rFonts w:ascii="Times New Roman" w:hAnsi="Times New Roman" w:eastAsia="Times New Roman" w:cs="Times New Roman"/>
                <w:sz w:val="14"/>
                <w:szCs w:val="14"/>
              </w:rPr>
            </w:pPr>
          </w:p>
        </w:tc>
      </w:tr>
      <w:tr w:rsidRPr="00F96D68" w:rsidR="00610B6B" w:rsidTr="00CF750D" w14:paraId="252FC2B0" w14:textId="77777777">
        <w:trPr>
          <w:trHeight w:val="257"/>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12F82503" w14:textId="3E67CED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Gambling Business (Casino, Online betting, etc.)</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54B0982A" w14:textId="2F76CF5F">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415" w:type="dxa"/>
            <w:tcBorders>
              <w:top w:val="nil"/>
              <w:left w:val="nil"/>
              <w:bottom w:val="nil"/>
              <w:right w:val="nil"/>
            </w:tcBorders>
            <w:shd w:val="clear" w:color="auto" w:fill="auto"/>
            <w:vAlign w:val="bottom"/>
            <w:hideMark/>
          </w:tcPr>
          <w:p w:rsidRPr="00F96D68" w:rsidR="00610B6B" w:rsidP="00610B6B" w:rsidRDefault="00610B6B" w14:paraId="15CA6651"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10C3E9DA"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46EEFB0E" w14:textId="60C4A7B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Equity Release</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59221E07" w14:textId="736410E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0CE6D97F"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0F32A6A5" w14:textId="77777777">
            <w:pPr>
              <w:spacing w:after="0" w:line="240" w:lineRule="auto"/>
              <w:rPr>
                <w:rFonts w:ascii="Times New Roman" w:hAnsi="Times New Roman" w:eastAsia="Times New Roman" w:cs="Times New Roman"/>
                <w:sz w:val="14"/>
                <w:szCs w:val="14"/>
              </w:rPr>
            </w:pPr>
          </w:p>
        </w:tc>
      </w:tr>
      <w:tr w:rsidRPr="00F96D68" w:rsidR="00610B6B" w:rsidTr="00CF750D" w14:paraId="7D3C1D04"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344C9D00" w14:textId="60E8F81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Military Defense (Local)</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7A2FD247" w14:textId="6483189F">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17A2E05C"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5E85F8EB"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54AB44DC" w14:textId="14546C6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Fixed Deposit Account</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97D7E91" w14:textId="05D02AD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6E6D67ED"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7638D479" w14:textId="77777777">
            <w:pPr>
              <w:spacing w:after="0" w:line="240" w:lineRule="auto"/>
              <w:rPr>
                <w:rFonts w:ascii="Times New Roman" w:hAnsi="Times New Roman" w:eastAsia="Times New Roman" w:cs="Times New Roman"/>
                <w:sz w:val="14"/>
                <w:szCs w:val="14"/>
              </w:rPr>
            </w:pPr>
          </w:p>
        </w:tc>
      </w:tr>
      <w:tr w:rsidRPr="00F96D68" w:rsidR="00610B6B" w:rsidTr="00CF750D" w14:paraId="36188BCE"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0632146C" w14:textId="1E08A8D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Military Defense (Foreign)</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A46315A" w14:textId="4D420A0F">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Prohibited</w:t>
            </w:r>
          </w:p>
        </w:tc>
        <w:tc>
          <w:tcPr>
            <w:tcW w:w="1415" w:type="dxa"/>
            <w:tcBorders>
              <w:top w:val="nil"/>
              <w:left w:val="nil"/>
              <w:bottom w:val="nil"/>
              <w:right w:val="nil"/>
            </w:tcBorders>
            <w:shd w:val="clear" w:color="auto" w:fill="auto"/>
            <w:vAlign w:val="bottom"/>
            <w:hideMark/>
          </w:tcPr>
          <w:p w:rsidRPr="00F96D68" w:rsidR="00610B6B" w:rsidP="00610B6B" w:rsidRDefault="00610B6B" w14:paraId="01E0136E"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0C560C40"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5C20A9F3" w14:textId="7988C60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Foreign Exchange</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6C24B0AC" w14:textId="0F20E51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569AAC7F"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06D86147" w14:textId="77777777">
            <w:pPr>
              <w:spacing w:after="0" w:line="240" w:lineRule="auto"/>
              <w:rPr>
                <w:rFonts w:ascii="Times New Roman" w:hAnsi="Times New Roman" w:eastAsia="Times New Roman" w:cs="Times New Roman"/>
                <w:sz w:val="14"/>
                <w:szCs w:val="14"/>
              </w:rPr>
            </w:pPr>
          </w:p>
        </w:tc>
      </w:tr>
      <w:tr w:rsidRPr="00F96D68" w:rsidR="00610B6B" w:rsidTr="00CF750D" w14:paraId="4BD970CC" w14:textId="77777777">
        <w:trPr>
          <w:trHeight w:val="132"/>
        </w:trPr>
        <w:tc>
          <w:tcPr>
            <w:tcW w:w="1547" w:type="dxa"/>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66B81B5A" w14:textId="7C006269">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Clubs (Sports, Social, Charitable, etc.)</w:t>
            </w:r>
          </w:p>
        </w:tc>
        <w:tc>
          <w:tcPr>
            <w:tcW w:w="1314"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3FFE2A68" w14:textId="35CC60E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415" w:type="dxa"/>
            <w:tcBorders>
              <w:top w:val="nil"/>
              <w:left w:val="nil"/>
              <w:bottom w:val="nil"/>
              <w:right w:val="nil"/>
            </w:tcBorders>
            <w:shd w:val="clear" w:color="auto" w:fill="auto"/>
            <w:vAlign w:val="bottom"/>
            <w:hideMark/>
          </w:tcPr>
          <w:p w:rsidRPr="00F96D68" w:rsidR="00610B6B" w:rsidP="00610B6B" w:rsidRDefault="00610B6B" w14:paraId="14ADA20A" w14:textId="77777777">
            <w:pPr>
              <w:spacing w:after="0" w:line="240" w:lineRule="auto"/>
              <w:jc w:val="center"/>
              <w:rPr>
                <w:rFonts w:ascii="Arial" w:hAnsi="Arial" w:eastAsia="Times New Roman" w:cs="Arial"/>
                <w:color w:val="000000"/>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642E0D55"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55C25C74" w14:textId="7CAEB3C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Government Rent Payment</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1C61C188" w14:textId="5533605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Simplified</w:t>
            </w:r>
          </w:p>
        </w:tc>
        <w:tc>
          <w:tcPr>
            <w:tcW w:w="1197" w:type="dxa"/>
            <w:tcBorders>
              <w:top w:val="nil"/>
              <w:left w:val="nil"/>
              <w:bottom w:val="nil"/>
              <w:right w:val="nil"/>
            </w:tcBorders>
            <w:shd w:val="clear" w:color="auto" w:fill="auto"/>
            <w:vAlign w:val="bottom"/>
            <w:hideMark/>
          </w:tcPr>
          <w:p w:rsidRPr="00F96D68" w:rsidR="00610B6B" w:rsidP="00610B6B" w:rsidRDefault="00610B6B" w14:paraId="6D4A4DC1"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5695CCAA" w14:textId="77777777">
            <w:pPr>
              <w:spacing w:after="0" w:line="240" w:lineRule="auto"/>
              <w:rPr>
                <w:rFonts w:ascii="Times New Roman" w:hAnsi="Times New Roman" w:eastAsia="Times New Roman" w:cs="Times New Roman"/>
                <w:sz w:val="14"/>
                <w:szCs w:val="14"/>
              </w:rPr>
            </w:pPr>
          </w:p>
        </w:tc>
      </w:tr>
      <w:tr w:rsidRPr="00F96D68" w:rsidR="00610B6B" w:rsidTr="00CF750D" w14:paraId="763E05EC"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6FC9102F"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0F7EBF42"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0C7BF4E9"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0A6F4F63"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6B453A0A" w14:textId="2F03A014">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 xml:space="preserve">In-House Pay Order </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59D090DC" w14:textId="3920FB21">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3152323F"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395E6B10" w14:textId="77777777">
            <w:pPr>
              <w:spacing w:after="0" w:line="240" w:lineRule="auto"/>
              <w:rPr>
                <w:rFonts w:ascii="Times New Roman" w:hAnsi="Times New Roman" w:eastAsia="Times New Roman" w:cs="Times New Roman"/>
                <w:sz w:val="14"/>
                <w:szCs w:val="14"/>
              </w:rPr>
            </w:pPr>
          </w:p>
        </w:tc>
      </w:tr>
      <w:tr w:rsidRPr="00F96D68" w:rsidR="00610B6B" w:rsidTr="00CF750D" w14:paraId="10BDDF56"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44762904"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04106914"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049BE9F4"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6C6AE644"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D571FB" w:rsidR="00610B6B" w:rsidP="00610B6B" w:rsidRDefault="00610B6B" w14:paraId="5C10BA7C" w14:textId="414EEEFD">
            <w:pPr>
              <w:spacing w:after="0" w:line="240" w:lineRule="auto"/>
              <w:jc w:val="center"/>
              <w:rPr>
                <w:rFonts w:ascii="Arial" w:hAnsi="Arial"/>
                <w:strike/>
                <w:color w:val="FF0000"/>
                <w:sz w:val="14"/>
                <w:highlight w:val="yellow"/>
              </w:rPr>
            </w:pPr>
            <w:r w:rsidRPr="006F16DE">
              <w:rPr>
                <w:rFonts w:ascii="Arial" w:hAnsi="Arial" w:eastAsia="Times New Roman" w:cs="Arial"/>
                <w:color w:val="000000"/>
                <w:sz w:val="14"/>
                <w:szCs w:val="14"/>
              </w:rPr>
              <w:t>Investor Transactions on Broker Accounts</w:t>
            </w:r>
          </w:p>
        </w:tc>
        <w:tc>
          <w:tcPr>
            <w:tcW w:w="1710" w:type="dxa"/>
            <w:tcBorders>
              <w:top w:val="nil"/>
              <w:left w:val="nil"/>
              <w:bottom w:val="single" w:color="auto" w:sz="8" w:space="0"/>
              <w:right w:val="single" w:color="auto" w:sz="8" w:space="0"/>
            </w:tcBorders>
            <w:shd w:val="clear" w:color="auto" w:fill="auto"/>
            <w:vAlign w:val="center"/>
            <w:hideMark/>
          </w:tcPr>
          <w:p w:rsidRPr="00D571FB" w:rsidR="00610B6B" w:rsidP="00610B6B" w:rsidRDefault="00610B6B" w14:paraId="08CF0396" w14:textId="0C333D20">
            <w:pPr>
              <w:spacing w:after="0" w:line="240" w:lineRule="auto"/>
              <w:jc w:val="center"/>
              <w:rPr>
                <w:rFonts w:ascii="Arial" w:hAnsi="Arial"/>
                <w:strike/>
                <w:color w:val="FF0000"/>
                <w:sz w:val="14"/>
                <w:highlight w:val="yellow"/>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08C9517C"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2E47BA2B" w14:textId="77777777">
            <w:pPr>
              <w:spacing w:after="0" w:line="240" w:lineRule="auto"/>
              <w:rPr>
                <w:rFonts w:ascii="Times New Roman" w:hAnsi="Times New Roman" w:eastAsia="Times New Roman" w:cs="Times New Roman"/>
                <w:sz w:val="14"/>
                <w:szCs w:val="14"/>
              </w:rPr>
            </w:pPr>
          </w:p>
        </w:tc>
      </w:tr>
      <w:tr w:rsidRPr="00F96D68" w:rsidR="00610B6B" w:rsidTr="00CF750D" w14:paraId="41C0C216"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5F2DA64E"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7551E3C9"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619C93F9"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4EE59E55"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59F80BC7" w14:textId="24BCA69B">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Large Cash Movements</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1BE8B686" w14:textId="745041B3">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F96D68" w:rsidR="00610B6B" w:rsidP="00610B6B" w:rsidRDefault="00610B6B" w14:paraId="49AEF55E"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5807E3F3" w14:textId="77777777">
            <w:pPr>
              <w:spacing w:after="0" w:line="240" w:lineRule="auto"/>
              <w:rPr>
                <w:rFonts w:ascii="Times New Roman" w:hAnsi="Times New Roman" w:eastAsia="Times New Roman" w:cs="Times New Roman"/>
                <w:sz w:val="14"/>
                <w:szCs w:val="14"/>
              </w:rPr>
            </w:pPr>
          </w:p>
        </w:tc>
      </w:tr>
      <w:tr w:rsidRPr="00F96D68" w:rsidR="00610B6B" w:rsidTr="00CF750D" w14:paraId="1DE246EA"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1AE2938C"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01431544"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0593760C"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05246183"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5FBD9192" w14:textId="74A89020">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Life Insurance</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06868AB3" w14:textId="01AE0E6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7283B251"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415CBD98" w14:textId="77777777">
            <w:pPr>
              <w:spacing w:after="0" w:line="240" w:lineRule="auto"/>
              <w:rPr>
                <w:rFonts w:ascii="Times New Roman" w:hAnsi="Times New Roman" w:eastAsia="Times New Roman" w:cs="Times New Roman"/>
                <w:sz w:val="14"/>
                <w:szCs w:val="14"/>
              </w:rPr>
            </w:pPr>
          </w:p>
        </w:tc>
      </w:tr>
      <w:tr w:rsidRPr="00F96D68" w:rsidR="00610B6B" w:rsidTr="00CF750D" w14:paraId="3EB143ED"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0CC7388E"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51D1663E"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694C3D60"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2CDB7873"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610B6B" w:rsidP="00610B6B" w:rsidRDefault="00610B6B" w14:paraId="7AA88ED1" w14:textId="0D6BDCD7">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Loan against deposit</w:t>
            </w:r>
          </w:p>
        </w:tc>
        <w:tc>
          <w:tcPr>
            <w:tcW w:w="1710" w:type="dxa"/>
            <w:tcBorders>
              <w:top w:val="nil"/>
              <w:left w:val="nil"/>
              <w:bottom w:val="single" w:color="auto" w:sz="8" w:space="0"/>
              <w:right w:val="single" w:color="auto" w:sz="8" w:space="0"/>
            </w:tcBorders>
            <w:shd w:val="clear" w:color="auto" w:fill="auto"/>
            <w:vAlign w:val="center"/>
            <w:hideMark/>
          </w:tcPr>
          <w:p w:rsidRPr="002327B6" w:rsidR="00610B6B" w:rsidP="00610B6B" w:rsidRDefault="00610B6B" w14:paraId="2F7BED39" w14:textId="7E03DFE6">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404882F1"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38D42C38" w14:textId="77777777">
            <w:pPr>
              <w:spacing w:after="0" w:line="240" w:lineRule="auto"/>
              <w:rPr>
                <w:rFonts w:ascii="Times New Roman" w:hAnsi="Times New Roman" w:eastAsia="Times New Roman" w:cs="Times New Roman"/>
                <w:sz w:val="14"/>
                <w:szCs w:val="14"/>
              </w:rPr>
            </w:pPr>
          </w:p>
        </w:tc>
      </w:tr>
      <w:tr w:rsidRPr="00F96D68" w:rsidR="00610B6B" w:rsidTr="00CF750D" w14:paraId="551C3B3E" w14:textId="77777777">
        <w:trPr>
          <w:trHeight w:val="257"/>
        </w:trPr>
        <w:tc>
          <w:tcPr>
            <w:tcW w:w="1547" w:type="dxa"/>
            <w:tcBorders>
              <w:top w:val="nil"/>
              <w:left w:val="nil"/>
              <w:bottom w:val="nil"/>
              <w:right w:val="nil"/>
            </w:tcBorders>
            <w:shd w:val="clear" w:color="auto" w:fill="auto"/>
            <w:vAlign w:val="bottom"/>
            <w:hideMark/>
          </w:tcPr>
          <w:p w:rsidRPr="00F96D68" w:rsidR="00610B6B" w:rsidP="00610B6B" w:rsidRDefault="00610B6B" w14:paraId="31879DEF"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3AC2B490"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5A95D0E0"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407B160A"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4D09505A" w14:textId="75B1697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Local Funds transfer</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795C7AE9" w14:textId="3227340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6BE44443"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2F1BB5DA" w14:textId="77777777">
            <w:pPr>
              <w:spacing w:after="0" w:line="240" w:lineRule="auto"/>
              <w:rPr>
                <w:rFonts w:ascii="Times New Roman" w:hAnsi="Times New Roman" w:eastAsia="Times New Roman" w:cs="Times New Roman"/>
                <w:sz w:val="14"/>
                <w:szCs w:val="14"/>
              </w:rPr>
            </w:pPr>
          </w:p>
        </w:tc>
      </w:tr>
      <w:tr w:rsidRPr="00F96D68" w:rsidR="00610B6B" w:rsidTr="00CF750D" w14:paraId="6501DA9C"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3719AB91"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6ED79EAF"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60EF8493"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5FBDF5E9"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158FC4D0" w14:textId="1698B26C">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Medical Insurance</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477E18E2" w14:textId="7B01A8BB">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4B8D6E38"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0BCA2533" w14:textId="77777777">
            <w:pPr>
              <w:spacing w:after="0" w:line="240" w:lineRule="auto"/>
              <w:rPr>
                <w:rFonts w:ascii="Times New Roman" w:hAnsi="Times New Roman" w:eastAsia="Times New Roman" w:cs="Times New Roman"/>
                <w:sz w:val="14"/>
                <w:szCs w:val="14"/>
              </w:rPr>
            </w:pPr>
          </w:p>
        </w:tc>
      </w:tr>
      <w:tr w:rsidRPr="00F96D68" w:rsidR="00610B6B" w:rsidTr="00CF750D" w14:paraId="242774A0" w14:textId="77777777">
        <w:trPr>
          <w:trHeight w:val="132"/>
        </w:trPr>
        <w:tc>
          <w:tcPr>
            <w:tcW w:w="1547" w:type="dxa"/>
            <w:tcBorders>
              <w:top w:val="nil"/>
              <w:left w:val="nil"/>
              <w:bottom w:val="nil"/>
              <w:right w:val="nil"/>
            </w:tcBorders>
            <w:shd w:val="clear" w:color="auto" w:fill="auto"/>
            <w:vAlign w:val="bottom"/>
            <w:hideMark/>
          </w:tcPr>
          <w:p w:rsidRPr="00F96D68" w:rsidR="00610B6B" w:rsidP="00610B6B" w:rsidRDefault="00610B6B" w14:paraId="132C7EA6"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610B6B" w:rsidP="00610B6B" w:rsidRDefault="00610B6B" w14:paraId="2D034FF7"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610B6B" w:rsidP="00610B6B" w:rsidRDefault="00610B6B" w14:paraId="731F9044"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610B6B" w:rsidP="00610B6B" w:rsidRDefault="00610B6B" w14:paraId="1CEE833B"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610B6B" w:rsidP="00610B6B" w:rsidRDefault="00610B6B" w14:paraId="052D3219" w14:textId="09B3036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Merchant &amp; E-Acquiring (POS)</w:t>
            </w:r>
          </w:p>
        </w:tc>
        <w:tc>
          <w:tcPr>
            <w:tcW w:w="1710" w:type="dxa"/>
            <w:tcBorders>
              <w:top w:val="nil"/>
              <w:left w:val="nil"/>
              <w:bottom w:val="single" w:color="auto" w:sz="8" w:space="0"/>
              <w:right w:val="single" w:color="auto" w:sz="8" w:space="0"/>
            </w:tcBorders>
            <w:shd w:val="clear" w:color="auto" w:fill="auto"/>
            <w:vAlign w:val="center"/>
            <w:hideMark/>
          </w:tcPr>
          <w:p w:rsidRPr="00F96D68" w:rsidR="00610B6B" w:rsidP="00610B6B" w:rsidRDefault="00610B6B" w14:paraId="31E79D62" w14:textId="339718E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610B6B" w:rsidP="00610B6B" w:rsidRDefault="00610B6B" w14:paraId="1D8D8A33"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610B6B" w:rsidP="00610B6B" w:rsidRDefault="00610B6B" w14:paraId="59FB98F2" w14:textId="77777777">
            <w:pPr>
              <w:spacing w:after="0" w:line="240" w:lineRule="auto"/>
              <w:rPr>
                <w:rFonts w:ascii="Times New Roman" w:hAnsi="Times New Roman" w:eastAsia="Times New Roman" w:cs="Times New Roman"/>
                <w:sz w:val="14"/>
                <w:szCs w:val="14"/>
              </w:rPr>
            </w:pPr>
          </w:p>
        </w:tc>
      </w:tr>
      <w:tr w:rsidRPr="00F96D68" w:rsidR="00785DF8" w:rsidTr="00CF750D" w14:paraId="01FBB478"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7F66E886"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29F359F6"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77CF00D0"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5B5F3295"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6E246441" w14:textId="5CF00D49">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Motor Insurance</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0527018F" w14:textId="003AA083">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44738CD0"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1FEDD471" w14:textId="77777777">
            <w:pPr>
              <w:spacing w:after="0" w:line="240" w:lineRule="auto"/>
              <w:rPr>
                <w:rFonts w:ascii="Times New Roman" w:hAnsi="Times New Roman" w:eastAsia="Times New Roman" w:cs="Times New Roman"/>
                <w:sz w:val="14"/>
                <w:szCs w:val="14"/>
              </w:rPr>
            </w:pPr>
          </w:p>
        </w:tc>
      </w:tr>
      <w:tr w:rsidRPr="00F96D68" w:rsidR="00785DF8" w:rsidTr="00CF750D" w14:paraId="40453E12"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6C2FC7BE"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000EA2D0"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4C88B07F"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32E7D50D"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02E51DD5" w14:textId="25BB99A9">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Overdraft – Working Capital</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2AB61A25" w14:textId="2902BA85">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2715C5E7"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0955EBD7" w14:textId="77777777">
            <w:pPr>
              <w:spacing w:after="0" w:line="240" w:lineRule="auto"/>
              <w:rPr>
                <w:rFonts w:ascii="Times New Roman" w:hAnsi="Times New Roman" w:eastAsia="Times New Roman" w:cs="Times New Roman"/>
                <w:sz w:val="14"/>
                <w:szCs w:val="14"/>
              </w:rPr>
            </w:pPr>
          </w:p>
        </w:tc>
      </w:tr>
      <w:tr w:rsidRPr="00F96D68" w:rsidR="00785DF8" w:rsidTr="00CF750D" w14:paraId="2103B3E9"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3B6AFD66"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12880920"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07D2C6A7"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3C1BA6B8"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D571FB" w:rsidR="00785DF8" w:rsidP="00785DF8" w:rsidRDefault="00785DF8" w14:paraId="0BD7C793" w14:textId="68BA36CA">
            <w:pPr>
              <w:spacing w:after="0" w:line="240" w:lineRule="auto"/>
              <w:jc w:val="center"/>
              <w:rPr>
                <w:rFonts w:ascii="Arial" w:hAnsi="Arial"/>
                <w:strike/>
                <w:color w:val="FF0000"/>
                <w:sz w:val="14"/>
                <w:highlight w:val="yellow"/>
              </w:rPr>
            </w:pPr>
            <w:r w:rsidRPr="006F16DE">
              <w:rPr>
                <w:rFonts w:ascii="Arial" w:hAnsi="Arial" w:eastAsia="Times New Roman" w:cs="Arial"/>
                <w:color w:val="000000"/>
                <w:sz w:val="14"/>
                <w:szCs w:val="14"/>
              </w:rPr>
              <w:t>Payroll Account</w:t>
            </w:r>
          </w:p>
        </w:tc>
        <w:tc>
          <w:tcPr>
            <w:tcW w:w="1710" w:type="dxa"/>
            <w:tcBorders>
              <w:top w:val="nil"/>
              <w:left w:val="nil"/>
              <w:bottom w:val="single" w:color="auto" w:sz="8" w:space="0"/>
              <w:right w:val="single" w:color="auto" w:sz="8" w:space="0"/>
            </w:tcBorders>
            <w:shd w:val="clear" w:color="auto" w:fill="auto"/>
            <w:vAlign w:val="center"/>
            <w:hideMark/>
          </w:tcPr>
          <w:p w:rsidRPr="00D571FB" w:rsidR="00785DF8" w:rsidP="00785DF8" w:rsidRDefault="00785DF8" w14:paraId="70100700" w14:textId="4AD4BF3F">
            <w:pPr>
              <w:spacing w:after="0" w:line="240" w:lineRule="auto"/>
              <w:jc w:val="center"/>
              <w:rPr>
                <w:rFonts w:ascii="Arial" w:hAnsi="Arial"/>
                <w:strike/>
                <w:color w:val="FF0000"/>
                <w:sz w:val="14"/>
                <w:highlight w:val="yellow"/>
              </w:rPr>
            </w:pPr>
            <w:r w:rsidRPr="006F16DE">
              <w:rPr>
                <w:rFonts w:ascii="Arial" w:hAnsi="Arial" w:eastAsia="Times New Roman" w:cs="Arial"/>
                <w:color w:val="000000"/>
                <w:sz w:val="14"/>
                <w:szCs w:val="14"/>
              </w:rPr>
              <w:t>Simplified</w:t>
            </w:r>
          </w:p>
        </w:tc>
        <w:tc>
          <w:tcPr>
            <w:tcW w:w="1197" w:type="dxa"/>
            <w:tcBorders>
              <w:top w:val="nil"/>
              <w:left w:val="nil"/>
              <w:bottom w:val="nil"/>
              <w:right w:val="nil"/>
            </w:tcBorders>
            <w:shd w:val="clear" w:color="auto" w:fill="auto"/>
            <w:vAlign w:val="bottom"/>
            <w:hideMark/>
          </w:tcPr>
          <w:p w:rsidRPr="00F96D68" w:rsidR="00785DF8" w:rsidP="00785DF8" w:rsidRDefault="00785DF8" w14:paraId="31E97879"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64BF7BF8" w14:textId="77777777">
            <w:pPr>
              <w:spacing w:after="0" w:line="240" w:lineRule="auto"/>
              <w:rPr>
                <w:rFonts w:ascii="Times New Roman" w:hAnsi="Times New Roman" w:eastAsia="Times New Roman" w:cs="Times New Roman"/>
                <w:sz w:val="14"/>
                <w:szCs w:val="14"/>
              </w:rPr>
            </w:pPr>
          </w:p>
        </w:tc>
      </w:tr>
      <w:tr w:rsidRPr="00F96D68" w:rsidR="00785DF8" w:rsidTr="00CF750D" w14:paraId="6BD8FD8E"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2619AAD1"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41BADE1B"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38E784E8"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24E27C9E"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1FD3860D" w14:textId="5EB9A1E3">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Personal Loan</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10CA7399" w14:textId="12845EAE">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41C16403"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3326A01B" w14:textId="77777777">
            <w:pPr>
              <w:spacing w:after="0" w:line="240" w:lineRule="auto"/>
              <w:rPr>
                <w:rFonts w:ascii="Times New Roman" w:hAnsi="Times New Roman" w:eastAsia="Times New Roman" w:cs="Times New Roman"/>
                <w:sz w:val="14"/>
                <w:szCs w:val="14"/>
              </w:rPr>
            </w:pPr>
          </w:p>
        </w:tc>
      </w:tr>
      <w:tr w:rsidRPr="00F96D68" w:rsidR="00785DF8" w:rsidTr="00CF750D" w14:paraId="138C7D64"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7E8410F1"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2B8ADE2B"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0979F1C3"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263C8D06"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785DF8" w:rsidP="00785DF8" w:rsidRDefault="00785DF8" w14:paraId="7BFAE815" w14:textId="7B30EB2F">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Prepaid Cards</w:t>
            </w:r>
          </w:p>
        </w:tc>
        <w:tc>
          <w:tcPr>
            <w:tcW w:w="1710" w:type="dxa"/>
            <w:tcBorders>
              <w:top w:val="nil"/>
              <w:left w:val="nil"/>
              <w:bottom w:val="single" w:color="auto" w:sz="8" w:space="0"/>
              <w:right w:val="single" w:color="auto" w:sz="8" w:space="0"/>
            </w:tcBorders>
            <w:shd w:val="clear" w:color="auto" w:fill="auto"/>
            <w:vAlign w:val="center"/>
            <w:hideMark/>
          </w:tcPr>
          <w:p w:rsidRPr="002327B6" w:rsidR="00785DF8" w:rsidP="00785DF8" w:rsidRDefault="00785DF8" w14:paraId="63A663B7" w14:textId="1EBB7033">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014C4784"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666032DF" w14:textId="77777777">
            <w:pPr>
              <w:spacing w:after="0" w:line="240" w:lineRule="auto"/>
              <w:rPr>
                <w:rFonts w:ascii="Times New Roman" w:hAnsi="Times New Roman" w:eastAsia="Times New Roman" w:cs="Times New Roman"/>
                <w:sz w:val="14"/>
                <w:szCs w:val="14"/>
              </w:rPr>
            </w:pPr>
          </w:p>
        </w:tc>
      </w:tr>
      <w:tr w:rsidRPr="00F96D68" w:rsidR="00785DF8" w:rsidTr="00CF750D" w14:paraId="55B7DF28"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0FB3253F"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66A8930A"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6C1DC677"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4D53A948"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1D921848" w14:textId="17CC0D67">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Project Finance</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08BA55EE" w14:textId="0A2AD6B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F96D68" w:rsidR="00785DF8" w:rsidP="00785DF8" w:rsidRDefault="00785DF8" w14:paraId="6F7F41C8"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000B89F3" w14:textId="77777777">
            <w:pPr>
              <w:spacing w:after="0" w:line="240" w:lineRule="auto"/>
              <w:rPr>
                <w:rFonts w:ascii="Times New Roman" w:hAnsi="Times New Roman" w:eastAsia="Times New Roman" w:cs="Times New Roman"/>
                <w:sz w:val="14"/>
                <w:szCs w:val="14"/>
              </w:rPr>
            </w:pPr>
          </w:p>
        </w:tc>
      </w:tr>
      <w:tr w:rsidRPr="00F96D68" w:rsidR="00785DF8" w:rsidTr="00CF750D" w14:paraId="4CF251AD"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1CC1C0FC"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50154EA0"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5C762A1D"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3C3A7A25"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2A6CAE97" w14:textId="287C5ACA">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Retail Credit Card</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2672A5D5" w14:textId="45B3BA38">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1750A117"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0B40B87D" w14:textId="77777777">
            <w:pPr>
              <w:spacing w:after="0" w:line="240" w:lineRule="auto"/>
              <w:rPr>
                <w:rFonts w:ascii="Times New Roman" w:hAnsi="Times New Roman" w:eastAsia="Times New Roman" w:cs="Times New Roman"/>
                <w:sz w:val="14"/>
                <w:szCs w:val="14"/>
              </w:rPr>
            </w:pPr>
          </w:p>
        </w:tc>
      </w:tr>
      <w:tr w:rsidRPr="00F96D68" w:rsidR="00785DF8" w:rsidTr="00CF750D" w14:paraId="0725BE0E"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07343184"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785C5C5B"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0A50133C"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3CFEA828"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785DF8" w:rsidP="00785DF8" w:rsidRDefault="00785DF8" w14:paraId="1085EBB0" w14:textId="1AFBD11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Savings Account</w:t>
            </w:r>
          </w:p>
        </w:tc>
        <w:tc>
          <w:tcPr>
            <w:tcW w:w="1710" w:type="dxa"/>
            <w:tcBorders>
              <w:top w:val="nil"/>
              <w:left w:val="nil"/>
              <w:bottom w:val="single" w:color="auto" w:sz="8" w:space="0"/>
              <w:right w:val="single" w:color="auto" w:sz="8" w:space="0"/>
            </w:tcBorders>
            <w:shd w:val="clear" w:color="auto" w:fill="auto"/>
            <w:vAlign w:val="center"/>
            <w:hideMark/>
          </w:tcPr>
          <w:p w:rsidRPr="002327B6" w:rsidR="00785DF8" w:rsidP="00785DF8" w:rsidRDefault="00785DF8" w14:paraId="7CAF7AA7" w14:textId="4990EB32">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73014FF3"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14652414" w14:textId="77777777">
            <w:pPr>
              <w:spacing w:after="0" w:line="240" w:lineRule="auto"/>
              <w:rPr>
                <w:rFonts w:ascii="Times New Roman" w:hAnsi="Times New Roman" w:eastAsia="Times New Roman" w:cs="Times New Roman"/>
                <w:sz w:val="14"/>
                <w:szCs w:val="14"/>
              </w:rPr>
            </w:pPr>
          </w:p>
        </w:tc>
      </w:tr>
      <w:tr w:rsidRPr="00F96D68" w:rsidR="00785DF8" w:rsidTr="00CF750D" w14:paraId="40A2884D"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4DF8C7B2"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5C11E2BC"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353435CB"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2F006B03"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5F0963" w:rsidR="00785DF8" w:rsidP="00785DF8" w:rsidRDefault="00785DF8" w14:paraId="3E1629C2" w14:textId="0A0DC6F4">
            <w:pPr>
              <w:spacing w:after="0" w:line="240" w:lineRule="auto"/>
              <w:jc w:val="center"/>
              <w:rPr>
                <w:rFonts w:ascii="Arial" w:hAnsi="Arial" w:eastAsia="Times New Roman" w:cs="Arial"/>
                <w:color w:val="000000"/>
                <w:sz w:val="14"/>
                <w:szCs w:val="14"/>
                <w:highlight w:val="yellow"/>
              </w:rPr>
            </w:pPr>
            <w:r w:rsidRPr="006F16DE">
              <w:rPr>
                <w:rFonts w:ascii="Arial" w:hAnsi="Arial" w:eastAsia="Times New Roman" w:cs="Arial"/>
                <w:color w:val="000000"/>
                <w:sz w:val="14"/>
                <w:szCs w:val="14"/>
              </w:rPr>
              <w:t>Standing Orders</w:t>
            </w:r>
          </w:p>
        </w:tc>
        <w:tc>
          <w:tcPr>
            <w:tcW w:w="1710" w:type="dxa"/>
            <w:tcBorders>
              <w:top w:val="nil"/>
              <w:left w:val="nil"/>
              <w:bottom w:val="single" w:color="auto" w:sz="8" w:space="0"/>
              <w:right w:val="single" w:color="auto" w:sz="8" w:space="0"/>
            </w:tcBorders>
            <w:shd w:val="clear" w:color="auto" w:fill="auto"/>
            <w:vAlign w:val="center"/>
            <w:hideMark/>
          </w:tcPr>
          <w:p w:rsidRPr="005F0963" w:rsidR="00785DF8" w:rsidP="00785DF8" w:rsidRDefault="00785DF8" w14:paraId="734CBEE1" w14:textId="4D96467F">
            <w:pPr>
              <w:spacing w:after="0" w:line="240" w:lineRule="auto"/>
              <w:jc w:val="center"/>
              <w:rPr>
                <w:rFonts w:ascii="Arial" w:hAnsi="Arial" w:eastAsia="Times New Roman" w:cs="Arial"/>
                <w:color w:val="000000"/>
                <w:sz w:val="14"/>
                <w:szCs w:val="14"/>
                <w:highlight w:val="yellow"/>
              </w:rPr>
            </w:pPr>
            <w:r w:rsidRPr="006F16DE">
              <w:rPr>
                <w:rFonts w:ascii="Arial" w:hAnsi="Arial" w:eastAsia="Times New Roman" w:cs="Arial"/>
                <w:color w:val="000000"/>
                <w:sz w:val="14"/>
                <w:szCs w:val="14"/>
              </w:rPr>
              <w:t>Standard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6243C1E9"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5C72F15E" w14:textId="77777777">
            <w:pPr>
              <w:spacing w:after="0" w:line="240" w:lineRule="auto"/>
              <w:rPr>
                <w:rFonts w:ascii="Times New Roman" w:hAnsi="Times New Roman" w:eastAsia="Times New Roman" w:cs="Times New Roman"/>
                <w:sz w:val="14"/>
                <w:szCs w:val="14"/>
              </w:rPr>
            </w:pPr>
          </w:p>
        </w:tc>
      </w:tr>
      <w:tr w:rsidRPr="00F96D68" w:rsidR="00785DF8" w:rsidTr="00CF750D" w14:paraId="4FF02FFF" w14:textId="77777777">
        <w:trPr>
          <w:trHeight w:val="257"/>
        </w:trPr>
        <w:tc>
          <w:tcPr>
            <w:tcW w:w="1547" w:type="dxa"/>
            <w:tcBorders>
              <w:top w:val="nil"/>
              <w:left w:val="nil"/>
              <w:bottom w:val="nil"/>
              <w:right w:val="nil"/>
            </w:tcBorders>
            <w:shd w:val="clear" w:color="auto" w:fill="auto"/>
            <w:vAlign w:val="bottom"/>
            <w:hideMark/>
          </w:tcPr>
          <w:p w:rsidRPr="00F96D68" w:rsidR="00785DF8" w:rsidP="00785DF8" w:rsidRDefault="00785DF8" w14:paraId="3653D40E"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48FAEE02"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5D89A328"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04452CF9"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2327B6" w:rsidR="00785DF8" w:rsidP="00785DF8" w:rsidRDefault="00785DF8" w14:paraId="6CDAEE19" w14:textId="191B5765">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Trade Finance</w:t>
            </w:r>
          </w:p>
        </w:tc>
        <w:tc>
          <w:tcPr>
            <w:tcW w:w="1710" w:type="dxa"/>
            <w:tcBorders>
              <w:top w:val="nil"/>
              <w:left w:val="nil"/>
              <w:bottom w:val="single" w:color="auto" w:sz="8" w:space="0"/>
              <w:right w:val="single" w:color="auto" w:sz="8" w:space="0"/>
            </w:tcBorders>
            <w:shd w:val="clear" w:color="auto" w:fill="auto"/>
            <w:vAlign w:val="center"/>
            <w:hideMark/>
          </w:tcPr>
          <w:p w:rsidRPr="002327B6" w:rsidR="00785DF8" w:rsidP="00785DF8" w:rsidRDefault="00785DF8" w14:paraId="25ED2447" w14:textId="48F48EB0">
            <w:pPr>
              <w:spacing w:after="0" w:line="240" w:lineRule="auto"/>
              <w:jc w:val="center"/>
              <w:rPr>
                <w:rFonts w:ascii="Arial" w:hAnsi="Arial" w:eastAsia="Times New Roman" w:cs="Arial"/>
                <w:strike/>
                <w:color w:val="FF0000"/>
                <w:sz w:val="14"/>
                <w:szCs w:val="14"/>
                <w:highlight w:val="yellow"/>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F96D68" w:rsidR="00785DF8" w:rsidP="00785DF8" w:rsidRDefault="00785DF8" w14:paraId="1595808D"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23716303" w14:textId="77777777">
            <w:pPr>
              <w:spacing w:after="0" w:line="240" w:lineRule="auto"/>
              <w:rPr>
                <w:rFonts w:ascii="Times New Roman" w:hAnsi="Times New Roman" w:eastAsia="Times New Roman" w:cs="Times New Roman"/>
                <w:sz w:val="14"/>
                <w:szCs w:val="14"/>
              </w:rPr>
            </w:pPr>
          </w:p>
        </w:tc>
      </w:tr>
      <w:tr w:rsidRPr="00F96D68" w:rsidR="00785DF8" w:rsidTr="00CF750D" w14:paraId="781C596D"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4C6E3588"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3B0891D3"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52CF2950"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7070BDD9"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30301B3B" w14:textId="6912DD56">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Treasury Operations</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40916167" w14:textId="13C21F8F">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EDD</w:t>
            </w:r>
          </w:p>
        </w:tc>
        <w:tc>
          <w:tcPr>
            <w:tcW w:w="1197" w:type="dxa"/>
            <w:tcBorders>
              <w:top w:val="nil"/>
              <w:left w:val="nil"/>
              <w:bottom w:val="nil"/>
              <w:right w:val="nil"/>
            </w:tcBorders>
            <w:shd w:val="clear" w:color="auto" w:fill="auto"/>
            <w:vAlign w:val="bottom"/>
            <w:hideMark/>
          </w:tcPr>
          <w:p w:rsidRPr="00F96D68" w:rsidR="00785DF8" w:rsidP="00785DF8" w:rsidRDefault="00785DF8" w14:paraId="24528463"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0CAD86E3" w14:textId="77777777">
            <w:pPr>
              <w:spacing w:after="0" w:line="240" w:lineRule="auto"/>
              <w:rPr>
                <w:rFonts w:ascii="Times New Roman" w:hAnsi="Times New Roman" w:eastAsia="Times New Roman" w:cs="Times New Roman"/>
                <w:sz w:val="14"/>
                <w:szCs w:val="14"/>
              </w:rPr>
            </w:pPr>
          </w:p>
        </w:tc>
      </w:tr>
      <w:tr w:rsidRPr="00F96D68" w:rsidR="00785DF8" w:rsidTr="00CF750D" w14:paraId="59C67FF1"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729F95D1"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6F43706E"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093D0F65"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06844AAB"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1C3145B5" w14:textId="19417955">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Vehicle Loan</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294C0473" w14:textId="7FD8772F">
            <w:pPr>
              <w:spacing w:after="0" w:line="240" w:lineRule="auto"/>
              <w:jc w:val="center"/>
              <w:rPr>
                <w:rFonts w:ascii="Arial" w:hAnsi="Arial" w:eastAsia="Times New Roman" w:cs="Arial"/>
                <w:color w:val="000000"/>
                <w:sz w:val="14"/>
                <w:szCs w:val="14"/>
              </w:rPr>
            </w:pPr>
            <w:r>
              <w:rPr>
                <w:rFonts w:ascii="Arial" w:hAnsi="Arial" w:eastAsia="Times New Roman" w:cs="Arial"/>
                <w:color w:val="000000"/>
                <w:sz w:val="14"/>
                <w:szCs w:val="14"/>
              </w:rPr>
              <w:t>S</w:t>
            </w:r>
            <w:r w:rsidRPr="006F16DE">
              <w:rPr>
                <w:rFonts w:ascii="Arial" w:hAnsi="Arial" w:eastAsia="Times New Roman" w:cs="Arial"/>
                <w:color w:val="000000"/>
                <w:sz w:val="14"/>
                <w:szCs w:val="14"/>
              </w:rPr>
              <w:t>tandard</w:t>
            </w:r>
          </w:p>
        </w:tc>
        <w:tc>
          <w:tcPr>
            <w:tcW w:w="1197" w:type="dxa"/>
            <w:tcBorders>
              <w:top w:val="nil"/>
              <w:left w:val="nil"/>
              <w:bottom w:val="nil"/>
              <w:right w:val="nil"/>
            </w:tcBorders>
            <w:shd w:val="clear" w:color="auto" w:fill="auto"/>
            <w:vAlign w:val="bottom"/>
            <w:hideMark/>
          </w:tcPr>
          <w:p w:rsidRPr="00F96D68" w:rsidR="00785DF8" w:rsidP="00785DF8" w:rsidRDefault="00785DF8" w14:paraId="6453857E"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73352B2E" w14:textId="77777777">
            <w:pPr>
              <w:spacing w:after="0" w:line="240" w:lineRule="auto"/>
              <w:rPr>
                <w:rFonts w:ascii="Times New Roman" w:hAnsi="Times New Roman" w:eastAsia="Times New Roman" w:cs="Times New Roman"/>
                <w:sz w:val="14"/>
                <w:szCs w:val="14"/>
              </w:rPr>
            </w:pPr>
          </w:p>
        </w:tc>
      </w:tr>
      <w:tr w:rsidRPr="00F96D68" w:rsidR="00785DF8" w:rsidTr="00CF750D" w14:paraId="5B262455" w14:textId="77777777">
        <w:trPr>
          <w:trHeight w:val="132"/>
        </w:trPr>
        <w:tc>
          <w:tcPr>
            <w:tcW w:w="1547" w:type="dxa"/>
            <w:tcBorders>
              <w:top w:val="nil"/>
              <w:left w:val="nil"/>
              <w:bottom w:val="nil"/>
              <w:right w:val="nil"/>
            </w:tcBorders>
            <w:shd w:val="clear" w:color="auto" w:fill="auto"/>
            <w:vAlign w:val="bottom"/>
            <w:hideMark/>
          </w:tcPr>
          <w:p w:rsidRPr="00F96D68" w:rsidR="00785DF8" w:rsidP="00785DF8" w:rsidRDefault="00785DF8" w14:paraId="2F2720AF"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785DF8" w:rsidP="00785DF8" w:rsidRDefault="00785DF8" w14:paraId="0B1DB524"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785DF8" w:rsidP="00785DF8" w:rsidRDefault="00785DF8" w14:paraId="0DBAD835" w14:textId="77777777">
            <w:pPr>
              <w:spacing w:after="0" w:line="240" w:lineRule="auto"/>
              <w:rPr>
                <w:rFonts w:ascii="Times New Roman" w:hAnsi="Times New Roman" w:eastAsia="Times New Roman" w:cs="Times New Roman"/>
                <w:sz w:val="14"/>
                <w:szCs w:val="14"/>
              </w:rPr>
            </w:pPr>
          </w:p>
        </w:tc>
        <w:tc>
          <w:tcPr>
            <w:tcW w:w="0" w:type="auto"/>
            <w:tcBorders>
              <w:top w:val="nil"/>
              <w:left w:val="nil"/>
              <w:bottom w:val="nil"/>
              <w:right w:val="nil"/>
            </w:tcBorders>
            <w:shd w:val="clear" w:color="auto" w:fill="auto"/>
            <w:vAlign w:val="bottom"/>
            <w:hideMark/>
          </w:tcPr>
          <w:p w:rsidRPr="00F96D68" w:rsidR="00785DF8" w:rsidP="00785DF8" w:rsidRDefault="00785DF8" w14:paraId="54053096" w14:textId="77777777">
            <w:pPr>
              <w:spacing w:after="0" w:line="240" w:lineRule="auto"/>
              <w:rPr>
                <w:rFonts w:ascii="Times New Roman" w:hAnsi="Times New Roman" w:eastAsia="Times New Roman" w:cs="Times New Roman"/>
                <w:sz w:val="14"/>
                <w:szCs w:val="14"/>
              </w:rPr>
            </w:pPr>
          </w:p>
        </w:tc>
        <w:tc>
          <w:tcPr>
            <w:tcW w:w="1399" w:type="dxa"/>
            <w:gridSpan w:val="3"/>
            <w:tcBorders>
              <w:top w:val="nil"/>
              <w:left w:val="single" w:color="auto" w:sz="8" w:space="0"/>
              <w:bottom w:val="single" w:color="auto" w:sz="8" w:space="0"/>
              <w:right w:val="single" w:color="auto" w:sz="8" w:space="0"/>
            </w:tcBorders>
            <w:shd w:val="clear" w:color="auto" w:fill="auto"/>
            <w:vAlign w:val="center"/>
            <w:hideMark/>
          </w:tcPr>
          <w:p w:rsidRPr="00F96D68" w:rsidR="00785DF8" w:rsidP="00785DF8" w:rsidRDefault="00785DF8" w14:paraId="6625C155" w14:textId="2E6146F4">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Wages protection System (WPS)</w:t>
            </w:r>
          </w:p>
        </w:tc>
        <w:tc>
          <w:tcPr>
            <w:tcW w:w="1710" w:type="dxa"/>
            <w:tcBorders>
              <w:top w:val="nil"/>
              <w:left w:val="nil"/>
              <w:bottom w:val="single" w:color="auto" w:sz="8" w:space="0"/>
              <w:right w:val="single" w:color="auto" w:sz="8" w:space="0"/>
            </w:tcBorders>
            <w:shd w:val="clear" w:color="auto" w:fill="auto"/>
            <w:vAlign w:val="center"/>
            <w:hideMark/>
          </w:tcPr>
          <w:p w:rsidRPr="00F96D68" w:rsidR="00785DF8" w:rsidP="00785DF8" w:rsidRDefault="00785DF8" w14:paraId="5176C7B9" w14:textId="64EBC24D">
            <w:pPr>
              <w:spacing w:after="0" w:line="240" w:lineRule="auto"/>
              <w:jc w:val="center"/>
              <w:rPr>
                <w:rFonts w:ascii="Arial" w:hAnsi="Arial" w:eastAsia="Times New Roman" w:cs="Arial"/>
                <w:color w:val="000000"/>
                <w:sz w:val="14"/>
                <w:szCs w:val="14"/>
              </w:rPr>
            </w:pPr>
            <w:r w:rsidRPr="006F16DE">
              <w:rPr>
                <w:rFonts w:ascii="Arial" w:hAnsi="Arial" w:eastAsia="Times New Roman" w:cs="Arial"/>
                <w:color w:val="000000"/>
                <w:sz w:val="14"/>
                <w:szCs w:val="14"/>
              </w:rPr>
              <w:t>Simplified</w:t>
            </w:r>
          </w:p>
        </w:tc>
        <w:tc>
          <w:tcPr>
            <w:tcW w:w="1197" w:type="dxa"/>
            <w:tcBorders>
              <w:top w:val="nil"/>
              <w:left w:val="nil"/>
              <w:bottom w:val="nil"/>
              <w:right w:val="nil"/>
            </w:tcBorders>
            <w:shd w:val="clear" w:color="auto" w:fill="auto"/>
            <w:vAlign w:val="bottom"/>
            <w:hideMark/>
          </w:tcPr>
          <w:p w:rsidRPr="00F96D68" w:rsidR="00785DF8" w:rsidP="00785DF8" w:rsidRDefault="00785DF8" w14:paraId="54D8E8FC" w14:textId="77777777">
            <w:pPr>
              <w:spacing w:after="0" w:line="240" w:lineRule="auto"/>
              <w:jc w:val="center"/>
              <w:rPr>
                <w:rFonts w:ascii="Arial" w:hAnsi="Arial" w:eastAsia="Times New Roman" w:cs="Arial"/>
                <w:color w:val="000000"/>
                <w:sz w:val="14"/>
                <w:szCs w:val="14"/>
              </w:rPr>
            </w:pPr>
          </w:p>
        </w:tc>
        <w:tc>
          <w:tcPr>
            <w:tcW w:w="1563" w:type="dxa"/>
            <w:tcBorders>
              <w:top w:val="nil"/>
              <w:left w:val="nil"/>
              <w:bottom w:val="nil"/>
              <w:right w:val="nil"/>
            </w:tcBorders>
            <w:shd w:val="clear" w:color="auto" w:fill="auto"/>
            <w:vAlign w:val="bottom"/>
            <w:hideMark/>
          </w:tcPr>
          <w:p w:rsidRPr="00F96D68" w:rsidR="00785DF8" w:rsidP="00785DF8" w:rsidRDefault="00785DF8" w14:paraId="206EF127" w14:textId="77777777">
            <w:pPr>
              <w:spacing w:after="0" w:line="240" w:lineRule="auto"/>
              <w:rPr>
                <w:rFonts w:ascii="Times New Roman" w:hAnsi="Times New Roman" w:eastAsia="Times New Roman" w:cs="Times New Roman"/>
                <w:sz w:val="14"/>
                <w:szCs w:val="14"/>
              </w:rPr>
            </w:pPr>
          </w:p>
        </w:tc>
      </w:tr>
      <w:tr w:rsidRPr="00F96D68" w:rsidR="000A7990" w:rsidTr="00CF750D" w14:paraId="6A85279E" w14:textId="77777777">
        <w:trPr>
          <w:gridAfter w:val="7"/>
          <w:wAfter w:w="7432" w:type="dxa"/>
          <w:trHeight w:val="132"/>
        </w:trPr>
        <w:tc>
          <w:tcPr>
            <w:tcW w:w="1547" w:type="dxa"/>
            <w:tcBorders>
              <w:top w:val="nil"/>
              <w:left w:val="nil"/>
              <w:bottom w:val="nil"/>
              <w:right w:val="nil"/>
            </w:tcBorders>
            <w:shd w:val="clear" w:color="auto" w:fill="auto"/>
            <w:vAlign w:val="bottom"/>
            <w:hideMark/>
          </w:tcPr>
          <w:p w:rsidRPr="00F96D68" w:rsidR="000A7990" w:rsidP="002A7521" w:rsidRDefault="000A7990" w14:paraId="5E281285"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0A7990" w:rsidP="002A7521" w:rsidRDefault="000A7990" w14:paraId="425B706D"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0A7990" w:rsidP="002A7521" w:rsidRDefault="000A7990" w14:paraId="48F4E5F5" w14:textId="77777777">
            <w:pPr>
              <w:spacing w:after="0" w:line="240" w:lineRule="auto"/>
              <w:rPr>
                <w:rFonts w:ascii="Times New Roman" w:hAnsi="Times New Roman" w:eastAsia="Times New Roman" w:cs="Times New Roman"/>
                <w:sz w:val="14"/>
                <w:szCs w:val="14"/>
              </w:rPr>
            </w:pPr>
          </w:p>
        </w:tc>
      </w:tr>
      <w:tr w:rsidRPr="00F96D68" w:rsidR="000A7990" w:rsidTr="00CF750D" w14:paraId="5442B6FA" w14:textId="77777777">
        <w:trPr>
          <w:gridAfter w:val="4"/>
          <w:wAfter w:w="4744" w:type="dxa"/>
          <w:trHeight w:val="132"/>
        </w:trPr>
        <w:tc>
          <w:tcPr>
            <w:tcW w:w="1547" w:type="dxa"/>
            <w:tcBorders>
              <w:top w:val="nil"/>
              <w:left w:val="nil"/>
              <w:bottom w:val="nil"/>
              <w:right w:val="nil"/>
            </w:tcBorders>
            <w:shd w:val="clear" w:color="auto" w:fill="auto"/>
            <w:vAlign w:val="bottom"/>
            <w:hideMark/>
          </w:tcPr>
          <w:p w:rsidRPr="00F96D68" w:rsidR="000A7990" w:rsidP="002A7521" w:rsidRDefault="000A7990" w14:paraId="114DD5E8" w14:textId="77777777">
            <w:pPr>
              <w:spacing w:after="0" w:line="240" w:lineRule="auto"/>
              <w:rPr>
                <w:rFonts w:ascii="Times New Roman" w:hAnsi="Times New Roman" w:eastAsia="Times New Roman" w:cs="Times New Roman"/>
                <w:sz w:val="14"/>
                <w:szCs w:val="14"/>
              </w:rPr>
            </w:pPr>
          </w:p>
        </w:tc>
        <w:tc>
          <w:tcPr>
            <w:tcW w:w="1314" w:type="dxa"/>
            <w:tcBorders>
              <w:top w:val="nil"/>
              <w:left w:val="nil"/>
              <w:bottom w:val="nil"/>
              <w:right w:val="nil"/>
            </w:tcBorders>
            <w:shd w:val="clear" w:color="auto" w:fill="auto"/>
            <w:vAlign w:val="bottom"/>
            <w:hideMark/>
          </w:tcPr>
          <w:p w:rsidRPr="00F96D68" w:rsidR="000A7990" w:rsidP="002A7521" w:rsidRDefault="000A7990" w14:paraId="7213E245" w14:textId="77777777">
            <w:pPr>
              <w:spacing w:after="0" w:line="240" w:lineRule="auto"/>
              <w:rPr>
                <w:rFonts w:ascii="Times New Roman" w:hAnsi="Times New Roman" w:eastAsia="Times New Roman" w:cs="Times New Roman"/>
                <w:sz w:val="14"/>
                <w:szCs w:val="14"/>
              </w:rPr>
            </w:pPr>
          </w:p>
        </w:tc>
        <w:tc>
          <w:tcPr>
            <w:tcW w:w="1415" w:type="dxa"/>
            <w:tcBorders>
              <w:top w:val="nil"/>
              <w:left w:val="nil"/>
              <w:bottom w:val="nil"/>
              <w:right w:val="nil"/>
            </w:tcBorders>
            <w:shd w:val="clear" w:color="auto" w:fill="auto"/>
            <w:vAlign w:val="bottom"/>
            <w:hideMark/>
          </w:tcPr>
          <w:p w:rsidRPr="00F96D68" w:rsidR="000A7990" w:rsidP="002A7521" w:rsidRDefault="000A7990" w14:paraId="7FDC6BB8" w14:textId="77777777">
            <w:pPr>
              <w:spacing w:after="0" w:line="240" w:lineRule="auto"/>
              <w:rPr>
                <w:rFonts w:ascii="Times New Roman" w:hAnsi="Times New Roman" w:eastAsia="Times New Roman" w:cs="Times New Roman"/>
                <w:sz w:val="14"/>
                <w:szCs w:val="14"/>
              </w:rPr>
            </w:pPr>
          </w:p>
        </w:tc>
        <w:tc>
          <w:tcPr>
            <w:tcW w:w="1739" w:type="dxa"/>
            <w:gridSpan w:val="2"/>
            <w:tcBorders>
              <w:top w:val="nil"/>
              <w:left w:val="nil"/>
              <w:bottom w:val="nil"/>
              <w:right w:val="nil"/>
            </w:tcBorders>
            <w:shd w:val="clear" w:color="auto" w:fill="auto"/>
            <w:vAlign w:val="bottom"/>
          </w:tcPr>
          <w:p w:rsidRPr="00F96D68" w:rsidR="000A7990" w:rsidP="002A7521" w:rsidRDefault="000A7990" w14:paraId="7F1403D0" w14:textId="77777777">
            <w:pPr>
              <w:spacing w:after="0" w:line="240" w:lineRule="auto"/>
              <w:jc w:val="center"/>
              <w:rPr>
                <w:rFonts w:ascii="Arial" w:hAnsi="Arial" w:eastAsia="Times New Roman" w:cs="Arial"/>
                <w:color w:val="000000"/>
                <w:sz w:val="14"/>
                <w:szCs w:val="14"/>
              </w:rPr>
            </w:pPr>
          </w:p>
        </w:tc>
        <w:tc>
          <w:tcPr>
            <w:tcW w:w="949" w:type="dxa"/>
            <w:tcBorders>
              <w:top w:val="nil"/>
              <w:left w:val="nil"/>
              <w:bottom w:val="nil"/>
              <w:right w:val="nil"/>
            </w:tcBorders>
            <w:shd w:val="clear" w:color="auto" w:fill="auto"/>
            <w:vAlign w:val="bottom"/>
          </w:tcPr>
          <w:p w:rsidRPr="00F96D68" w:rsidR="000A7990" w:rsidP="002A7521" w:rsidRDefault="000A7990" w14:paraId="3DE34E61" w14:textId="77777777">
            <w:pPr>
              <w:spacing w:after="0" w:line="240" w:lineRule="auto"/>
              <w:rPr>
                <w:rFonts w:ascii="Times New Roman" w:hAnsi="Times New Roman" w:eastAsia="Times New Roman" w:cs="Times New Roman"/>
                <w:sz w:val="14"/>
                <w:szCs w:val="14"/>
              </w:rPr>
            </w:pPr>
          </w:p>
        </w:tc>
      </w:tr>
    </w:tbl>
    <w:p w:rsidRPr="006F16DE" w:rsidR="00CF750D" w:rsidP="00CF750D" w:rsidRDefault="00CF750D" w14:paraId="47EE6BFA" w14:textId="77777777">
      <w:pPr>
        <w:pStyle w:val="Heading1"/>
      </w:pPr>
      <w:bookmarkStart w:name="_Toc204172520" w:id="30"/>
      <w:bookmarkStart w:name="_Toc199430642" w:id="31"/>
      <w:bookmarkStart w:name="_Toc208216205" w:id="32"/>
      <w:r w:rsidRPr="006F16DE">
        <w:t>Appendix II</w:t>
      </w:r>
      <w:bookmarkEnd w:id="30"/>
    </w:p>
    <w:tbl>
      <w:tblPr>
        <w:tblW w:w="9969" w:type="dxa"/>
        <w:tblInd w:w="-365" w:type="dxa"/>
        <w:tblLook w:val="04A0" w:firstRow="1" w:lastRow="0" w:firstColumn="1" w:lastColumn="0" w:noHBand="0" w:noVBand="1"/>
      </w:tblPr>
      <w:tblGrid>
        <w:gridCol w:w="2675"/>
        <w:gridCol w:w="7294"/>
      </w:tblGrid>
      <w:tr w:rsidRPr="00F96D68" w:rsidR="00DC5249" w:rsidTr="009F4A0E" w14:paraId="686F1B16" w14:textId="77777777">
        <w:trPr>
          <w:trHeight w:val="123"/>
        </w:trPr>
        <w:tc>
          <w:tcPr>
            <w:tcW w:w="9969" w:type="dxa"/>
            <w:gridSpan w:val="2"/>
            <w:tcBorders>
              <w:top w:val="single" w:color="auto" w:sz="4" w:space="0"/>
              <w:left w:val="single" w:color="auto" w:sz="4" w:space="0"/>
              <w:bottom w:val="single" w:color="auto" w:sz="4" w:space="0"/>
              <w:right w:val="single" w:color="auto" w:sz="4" w:space="0"/>
            </w:tcBorders>
            <w:shd w:val="clear" w:color="auto" w:fill="1F4E79" w:themeFill="accent1" w:themeFillShade="80"/>
            <w:noWrap/>
            <w:vAlign w:val="center"/>
            <w:hideMark/>
          </w:tcPr>
          <w:bookmarkEnd w:id="31"/>
          <w:bookmarkEnd w:id="32"/>
          <w:p w:rsidRPr="00F96D68" w:rsidR="00DC5249" w:rsidP="00DC5249" w:rsidRDefault="00CF750D" w14:paraId="048E76C5" w14:textId="13E082E5">
            <w:pPr>
              <w:spacing w:after="0" w:line="240" w:lineRule="auto"/>
              <w:jc w:val="center"/>
              <w:rPr>
                <w:rFonts w:eastAsia="Times New Roman" w:asciiTheme="minorBidi" w:hAnsiTheme="minorBidi"/>
                <w:b/>
                <w:bCs/>
                <w:color w:val="FFFFFF"/>
                <w:sz w:val="18"/>
                <w:szCs w:val="18"/>
              </w:rPr>
            </w:pPr>
            <w:r w:rsidRPr="006F16DE">
              <w:rPr>
                <w:rFonts w:eastAsia="Times New Roman" w:asciiTheme="minorBidi" w:hAnsiTheme="minorBidi"/>
                <w:b/>
                <w:bCs/>
                <w:color w:val="FFFFFF"/>
                <w:sz w:val="18"/>
                <w:szCs w:val="18"/>
              </w:rPr>
              <w:t>Customer Risk Limits</w:t>
            </w:r>
          </w:p>
        </w:tc>
      </w:tr>
      <w:tr w:rsidRPr="00F96D68" w:rsidR="00CF750D" w:rsidTr="00AF1DA1" w14:paraId="5E8331C3"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096F0BB0" w14:textId="52AACE68">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High-Risk Customer Exposure</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0420199C" w14:textId="64AB4DD3">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Set limits on the percentage or total volume of high-risk customers (e.g., politically exposed persons, high-risk industries) as a portion of the overall customer base.</w:t>
            </w:r>
          </w:p>
        </w:tc>
      </w:tr>
      <w:tr w:rsidRPr="00F96D68" w:rsidR="00CF750D" w:rsidTr="00AF1DA1" w14:paraId="547CC0A9"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6A18F99A" w14:textId="1AD57B62">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Geographic Exposure Limits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5B2C7B22" w14:textId="0AEB2F61">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Place restrictions on the percentage of customers or transactions originating from high-risk jurisdictions or regions subject to sanctions.</w:t>
            </w:r>
          </w:p>
        </w:tc>
      </w:tr>
      <w:tr w:rsidRPr="00F96D68" w:rsidR="00CF750D" w:rsidTr="00AF1DA1" w14:paraId="6B213EB7"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50F7F028" w14:textId="7B85485E">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Transaction Volume Limits for High-Risk Customers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52C5036D" w14:textId="43363DD4">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Implement limits on the volume or value of transactions allowed for high-risk customers, triggering enhanced due diligence when exceeded.</w:t>
            </w:r>
          </w:p>
        </w:tc>
      </w:tr>
      <w:tr w:rsidRPr="00F96D68" w:rsidR="00DC5249" w:rsidTr="009F4A0E" w14:paraId="6330F025" w14:textId="77777777">
        <w:trPr>
          <w:trHeight w:val="123"/>
        </w:trPr>
        <w:tc>
          <w:tcPr>
            <w:tcW w:w="9969" w:type="dxa"/>
            <w:gridSpan w:val="2"/>
            <w:tcBorders>
              <w:top w:val="single" w:color="auto" w:sz="4" w:space="0"/>
              <w:left w:val="single" w:color="auto" w:sz="4" w:space="0"/>
              <w:bottom w:val="single" w:color="auto" w:sz="4" w:space="0"/>
              <w:right w:val="single" w:color="auto" w:sz="4" w:space="0"/>
            </w:tcBorders>
            <w:shd w:val="clear" w:color="auto" w:fill="1F4E79" w:themeFill="accent1" w:themeFillShade="80"/>
            <w:noWrap/>
            <w:vAlign w:val="center"/>
            <w:hideMark/>
          </w:tcPr>
          <w:p w:rsidRPr="00F96D68" w:rsidR="00DC5249" w:rsidP="00DC5249" w:rsidRDefault="00CF750D" w14:paraId="756FF5AD" w14:textId="12EEB547">
            <w:pPr>
              <w:spacing w:after="0" w:line="240" w:lineRule="auto"/>
              <w:jc w:val="center"/>
              <w:rPr>
                <w:rFonts w:eastAsia="Times New Roman" w:asciiTheme="minorBidi" w:hAnsiTheme="minorBidi"/>
                <w:b/>
                <w:bCs/>
                <w:color w:val="FFFFFF"/>
                <w:sz w:val="18"/>
                <w:szCs w:val="18"/>
              </w:rPr>
            </w:pPr>
            <w:r w:rsidRPr="006F16DE">
              <w:rPr>
                <w:rFonts w:eastAsia="Times New Roman" w:asciiTheme="minorBidi" w:hAnsiTheme="minorBidi"/>
                <w:b/>
                <w:bCs/>
                <w:color w:val="FFFFFF"/>
                <w:sz w:val="18"/>
                <w:szCs w:val="18"/>
              </w:rPr>
              <w:t>Transaction Limits</w:t>
            </w:r>
          </w:p>
        </w:tc>
      </w:tr>
      <w:tr w:rsidRPr="00F96D68" w:rsidR="00CF750D" w:rsidTr="00AF1DA1" w14:paraId="1B72396D"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6779B6D9" w14:textId="6AAD0E4D">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Single Transaction Limits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436882E4" w14:textId="0C0A91F1">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Cap the maximum value for single transactions, with different limits for cash deposits, wire transfers, and international transactions.</w:t>
            </w:r>
          </w:p>
        </w:tc>
      </w:tr>
      <w:tr w:rsidRPr="00F96D68" w:rsidR="00CF750D" w:rsidTr="00AF1DA1" w14:paraId="64711EBF" w14:textId="77777777">
        <w:trPr>
          <w:trHeight w:val="374"/>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0811C0D9" w14:textId="0C8D8898">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Daily/Monthly Transaction Limits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2C200BCA" w14:textId="2CBDF1FB">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Define maximum daily or monthly thresholds for transactions (either in volume or total value) for accounts or customer segments, with stricter limits for high-risk categories.</w:t>
            </w:r>
          </w:p>
        </w:tc>
      </w:tr>
      <w:tr w:rsidRPr="00F96D68" w:rsidR="00CF750D" w:rsidTr="00AF1DA1" w14:paraId="58108C22"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62B56179" w14:textId="0DF8FDF5">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Cross-Border Transaction Limits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636941DC" w14:textId="24335654">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Impose caps on the volume or value of cross-border transactions, especially to or from high-risk jurisdictions.</w:t>
            </w:r>
          </w:p>
        </w:tc>
      </w:tr>
      <w:tr w:rsidRPr="00F96D68" w:rsidR="00DC5249" w:rsidTr="009F4A0E" w14:paraId="6AD0A01E" w14:textId="77777777">
        <w:trPr>
          <w:trHeight w:val="123"/>
        </w:trPr>
        <w:tc>
          <w:tcPr>
            <w:tcW w:w="9969" w:type="dxa"/>
            <w:gridSpan w:val="2"/>
            <w:tcBorders>
              <w:top w:val="single" w:color="auto" w:sz="4" w:space="0"/>
              <w:left w:val="single" w:color="auto" w:sz="4" w:space="0"/>
              <w:bottom w:val="single" w:color="auto" w:sz="4" w:space="0"/>
              <w:right w:val="single" w:color="auto" w:sz="4" w:space="0"/>
            </w:tcBorders>
            <w:shd w:val="clear" w:color="auto" w:fill="1F4E79" w:themeFill="accent1" w:themeFillShade="80"/>
            <w:noWrap/>
            <w:vAlign w:val="center"/>
            <w:hideMark/>
          </w:tcPr>
          <w:p w:rsidRPr="00F96D68" w:rsidR="00DC5249" w:rsidP="00DC5249" w:rsidRDefault="00CF750D" w14:paraId="0DDCCDD2" w14:textId="6083A270">
            <w:pPr>
              <w:spacing w:after="0" w:line="240" w:lineRule="auto"/>
              <w:jc w:val="center"/>
              <w:rPr>
                <w:rFonts w:eastAsia="Times New Roman" w:asciiTheme="minorBidi" w:hAnsiTheme="minorBidi"/>
                <w:b/>
                <w:bCs/>
                <w:color w:val="FFFFFF"/>
                <w:sz w:val="18"/>
                <w:szCs w:val="18"/>
              </w:rPr>
            </w:pPr>
            <w:r w:rsidRPr="006F16DE">
              <w:rPr>
                <w:rFonts w:eastAsia="Times New Roman" w:asciiTheme="minorBidi" w:hAnsiTheme="minorBidi"/>
                <w:b/>
                <w:bCs/>
                <w:color w:val="FFFFFF"/>
                <w:sz w:val="18"/>
                <w:szCs w:val="18"/>
              </w:rPr>
              <w:t>Product &amp; Service Risk Limits</w:t>
            </w:r>
          </w:p>
        </w:tc>
      </w:tr>
      <w:tr w:rsidRPr="00F96D68" w:rsidR="00CF750D" w:rsidTr="00AF1DA1" w14:paraId="1E0A26DC"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609B8CE4" w14:textId="341ADCB5">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Product Usage Caps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4A78F98B" w14:textId="0591EB24">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Limit the exposure to specific high-risk products or services (e.g., private banking, PEPs, etc.) by restricting the percentage of the portfolio.</w:t>
            </w:r>
          </w:p>
        </w:tc>
      </w:tr>
      <w:tr w:rsidRPr="00F96D68" w:rsidR="00CF750D" w:rsidTr="00AF1DA1" w14:paraId="1ADFD5D0"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068185D7" w14:textId="49F68052">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Cash Transaction Limits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31F83A42" w14:textId="10A5A521">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Set limits on the percentage or volume of cash transactions for customers, particularly for those in higher-risk categories.</w:t>
            </w:r>
          </w:p>
        </w:tc>
      </w:tr>
      <w:tr w:rsidRPr="00F96D68" w:rsidR="00DC5249" w:rsidTr="009F4A0E" w14:paraId="0C2FBE03" w14:textId="77777777">
        <w:trPr>
          <w:trHeight w:val="123"/>
        </w:trPr>
        <w:tc>
          <w:tcPr>
            <w:tcW w:w="9969" w:type="dxa"/>
            <w:gridSpan w:val="2"/>
            <w:tcBorders>
              <w:top w:val="single" w:color="auto" w:sz="4" w:space="0"/>
              <w:left w:val="single" w:color="auto" w:sz="4" w:space="0"/>
              <w:bottom w:val="single" w:color="auto" w:sz="4" w:space="0"/>
              <w:right w:val="single" w:color="auto" w:sz="4" w:space="0"/>
            </w:tcBorders>
            <w:shd w:val="clear" w:color="auto" w:fill="1F4E79" w:themeFill="accent1" w:themeFillShade="80"/>
            <w:noWrap/>
            <w:vAlign w:val="center"/>
            <w:hideMark/>
          </w:tcPr>
          <w:p w:rsidRPr="00F96D68" w:rsidR="00DC5249" w:rsidP="00DC5249" w:rsidRDefault="00CF750D" w14:paraId="2A8D5CD9" w14:textId="3DBCA693">
            <w:pPr>
              <w:spacing w:after="0" w:line="240" w:lineRule="auto"/>
              <w:jc w:val="center"/>
              <w:rPr>
                <w:rFonts w:eastAsia="Times New Roman" w:asciiTheme="minorBidi" w:hAnsiTheme="minorBidi"/>
                <w:b/>
                <w:bCs/>
                <w:color w:val="FFFFFF"/>
                <w:sz w:val="18"/>
                <w:szCs w:val="18"/>
              </w:rPr>
            </w:pPr>
            <w:r w:rsidRPr="006F16DE">
              <w:rPr>
                <w:rFonts w:eastAsia="Times New Roman" w:asciiTheme="minorBidi" w:hAnsiTheme="minorBidi"/>
                <w:b/>
                <w:bCs/>
                <w:color w:val="FFFFFF"/>
                <w:sz w:val="18"/>
                <w:szCs w:val="18"/>
              </w:rPr>
              <w:t>Channel Risk Limits</w:t>
            </w:r>
          </w:p>
        </w:tc>
      </w:tr>
      <w:tr w:rsidRPr="00F96D68" w:rsidR="00CF750D" w:rsidTr="00AF1DA1" w14:paraId="57D59EB1"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1E993004" w14:textId="094F291A">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Non-Face-to-Face Transactions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75D3C265" w14:textId="3D957F85">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Limit the percentage of non-face-to-face or online-only transactions, as these are typically higher-risk than in-person interactions.</w:t>
            </w:r>
          </w:p>
        </w:tc>
      </w:tr>
      <w:tr w:rsidRPr="00F96D68" w:rsidR="00CF750D" w:rsidTr="00AF1DA1" w14:paraId="3A1922D5"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2327B6" w:rsidR="00CF750D" w:rsidP="00CF750D" w:rsidRDefault="00CF750D" w14:paraId="3935CBD6" w14:textId="2B49E730">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Third-Party Payment Service Limits</w:t>
            </w:r>
          </w:p>
        </w:tc>
        <w:tc>
          <w:tcPr>
            <w:tcW w:w="7294" w:type="dxa"/>
            <w:tcBorders>
              <w:top w:val="nil"/>
              <w:left w:val="nil"/>
              <w:bottom w:val="single" w:color="auto" w:sz="4" w:space="0"/>
              <w:right w:val="single" w:color="auto" w:sz="4" w:space="0"/>
            </w:tcBorders>
            <w:shd w:val="clear" w:color="auto" w:fill="auto"/>
            <w:vAlign w:val="center"/>
            <w:hideMark/>
          </w:tcPr>
          <w:p w:rsidRPr="002327B6" w:rsidR="00CF750D" w:rsidP="00CF750D" w:rsidRDefault="00CF750D" w14:paraId="5FD99AEB" w14:textId="4BBECB13">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Set thresholds on the value and volume of transactions processed through third-party payment providers or payment facilitators.</w:t>
            </w:r>
          </w:p>
        </w:tc>
      </w:tr>
      <w:tr w:rsidRPr="00F96D68" w:rsidR="00CF750D" w:rsidTr="00AF1DA1" w14:paraId="207AB14D"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715A09B6" w14:textId="718178A2">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Correspondent Banking Relationships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26337E22" w14:textId="0EFDCBCD">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Cap the number or volume of correspondent banking relationships, particularly in jurisdictions with weaker AML/CFT controls.</w:t>
            </w:r>
          </w:p>
        </w:tc>
      </w:tr>
      <w:tr w:rsidRPr="00F96D68" w:rsidR="00DC5249" w:rsidTr="009F4A0E" w14:paraId="306C4A68" w14:textId="77777777">
        <w:trPr>
          <w:trHeight w:val="123"/>
        </w:trPr>
        <w:tc>
          <w:tcPr>
            <w:tcW w:w="9969" w:type="dxa"/>
            <w:gridSpan w:val="2"/>
            <w:tcBorders>
              <w:top w:val="single" w:color="auto" w:sz="4" w:space="0"/>
              <w:left w:val="single" w:color="auto" w:sz="4" w:space="0"/>
              <w:bottom w:val="single" w:color="auto" w:sz="4" w:space="0"/>
              <w:right w:val="single" w:color="auto" w:sz="4" w:space="0"/>
            </w:tcBorders>
            <w:shd w:val="clear" w:color="auto" w:fill="1F4E79" w:themeFill="accent1" w:themeFillShade="80"/>
            <w:noWrap/>
            <w:vAlign w:val="center"/>
            <w:hideMark/>
          </w:tcPr>
          <w:p w:rsidRPr="00F96D68" w:rsidR="00DC5249" w:rsidP="00DC5249" w:rsidRDefault="00CF750D" w14:paraId="1DF08D5F" w14:textId="39802F25">
            <w:pPr>
              <w:spacing w:after="0" w:line="240" w:lineRule="auto"/>
              <w:jc w:val="center"/>
              <w:rPr>
                <w:rFonts w:eastAsia="Times New Roman" w:asciiTheme="minorBidi" w:hAnsiTheme="minorBidi"/>
                <w:b/>
                <w:bCs/>
                <w:color w:val="FFFFFF"/>
                <w:sz w:val="18"/>
                <w:szCs w:val="18"/>
              </w:rPr>
            </w:pPr>
            <w:r w:rsidRPr="006F16DE">
              <w:rPr>
                <w:rFonts w:eastAsia="Times New Roman" w:asciiTheme="minorBidi" w:hAnsiTheme="minorBidi"/>
                <w:b/>
                <w:bCs/>
                <w:color w:val="FFFFFF"/>
                <w:sz w:val="18"/>
                <w:szCs w:val="18"/>
              </w:rPr>
              <w:t>KYC/Onboarding Limits</w:t>
            </w:r>
          </w:p>
        </w:tc>
      </w:tr>
      <w:tr w:rsidRPr="00F96D68" w:rsidR="00CF750D" w:rsidTr="00AF1DA1" w14:paraId="2BCA6AFA"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456F49E7" w14:textId="059D76B6">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Onboarding Volume Limits for High-Risk Customers</w:t>
            </w:r>
          </w:p>
        </w:tc>
        <w:tc>
          <w:tcPr>
            <w:tcW w:w="7294" w:type="dxa"/>
            <w:tcBorders>
              <w:top w:val="nil"/>
              <w:left w:val="nil"/>
              <w:bottom w:val="single" w:color="auto" w:sz="4" w:space="0"/>
              <w:right w:val="single" w:color="auto" w:sz="4" w:space="0"/>
            </w:tcBorders>
            <w:shd w:val="clear" w:color="auto" w:fill="auto"/>
            <w:vAlign w:val="center"/>
            <w:hideMark/>
          </w:tcPr>
          <w:p w:rsidRPr="00F96D68" w:rsidR="00CF750D" w:rsidP="00CF750D" w:rsidRDefault="00CF750D" w14:paraId="5972FFC1" w14:textId="04DFD68C">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Set daily or monthly limits on the number or percentage of high-risk customers being on-boarded (e.g., private banking, PEPs, etc.)</w:t>
            </w:r>
          </w:p>
        </w:tc>
      </w:tr>
      <w:tr w:rsidRPr="00F96D68" w:rsidR="00CF750D" w:rsidTr="009F4A0E" w14:paraId="5AB64380" w14:textId="77777777">
        <w:trPr>
          <w:trHeight w:val="123"/>
        </w:trPr>
        <w:tc>
          <w:tcPr>
            <w:tcW w:w="9969" w:type="dxa"/>
            <w:gridSpan w:val="2"/>
            <w:tcBorders>
              <w:top w:val="single" w:color="auto" w:sz="4" w:space="0"/>
              <w:left w:val="single" w:color="auto" w:sz="4" w:space="0"/>
              <w:bottom w:val="single" w:color="auto" w:sz="4" w:space="0"/>
              <w:right w:val="single" w:color="auto" w:sz="4" w:space="0"/>
            </w:tcBorders>
            <w:shd w:val="clear" w:color="auto" w:fill="1F4E79" w:themeFill="accent1" w:themeFillShade="80"/>
            <w:noWrap/>
            <w:vAlign w:val="center"/>
            <w:hideMark/>
          </w:tcPr>
          <w:p w:rsidRPr="00F96D68" w:rsidR="00CF750D" w:rsidP="00CF750D" w:rsidRDefault="00CF750D" w14:paraId="0F76C6D3" w14:textId="1A3675B4">
            <w:pPr>
              <w:spacing w:after="0" w:line="240" w:lineRule="auto"/>
              <w:jc w:val="center"/>
              <w:rPr>
                <w:rFonts w:eastAsia="Times New Roman" w:asciiTheme="minorBidi" w:hAnsiTheme="minorBidi"/>
                <w:b/>
                <w:bCs/>
                <w:color w:val="FFFFFF"/>
                <w:sz w:val="18"/>
                <w:szCs w:val="18"/>
              </w:rPr>
            </w:pPr>
            <w:r w:rsidRPr="006F16DE">
              <w:rPr>
                <w:rFonts w:eastAsia="Times New Roman" w:asciiTheme="minorBidi" w:hAnsiTheme="minorBidi"/>
                <w:b/>
                <w:bCs/>
                <w:color w:val="FFFFFF"/>
                <w:sz w:val="18"/>
                <w:szCs w:val="18"/>
              </w:rPr>
              <w:t>AML/CFT Program Limits</w:t>
            </w:r>
          </w:p>
        </w:tc>
      </w:tr>
      <w:tr w:rsidRPr="00DC5249" w:rsidR="00CF750D" w:rsidTr="00AF1DA1" w14:paraId="79735D5E" w14:textId="77777777">
        <w:trPr>
          <w:trHeight w:val="248"/>
        </w:trPr>
        <w:tc>
          <w:tcPr>
            <w:tcW w:w="2675" w:type="dxa"/>
            <w:tcBorders>
              <w:top w:val="nil"/>
              <w:left w:val="single" w:color="auto" w:sz="4" w:space="0"/>
              <w:bottom w:val="single" w:color="auto" w:sz="4" w:space="0"/>
              <w:right w:val="single" w:color="auto" w:sz="4" w:space="0"/>
            </w:tcBorders>
            <w:shd w:val="clear" w:color="auto" w:fill="auto"/>
            <w:vAlign w:val="center"/>
            <w:hideMark/>
          </w:tcPr>
          <w:p w:rsidRPr="00F96D68" w:rsidR="00CF750D" w:rsidP="00CF750D" w:rsidRDefault="00CF750D" w14:paraId="1D485DD8" w14:textId="364E40C0">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AML/CFT Training</w:t>
            </w:r>
          </w:p>
        </w:tc>
        <w:tc>
          <w:tcPr>
            <w:tcW w:w="7294" w:type="dxa"/>
            <w:tcBorders>
              <w:top w:val="nil"/>
              <w:left w:val="nil"/>
              <w:bottom w:val="single" w:color="auto" w:sz="4" w:space="0"/>
              <w:right w:val="single" w:color="auto" w:sz="4" w:space="0"/>
            </w:tcBorders>
            <w:shd w:val="clear" w:color="auto" w:fill="auto"/>
            <w:vAlign w:val="center"/>
            <w:hideMark/>
          </w:tcPr>
          <w:p w:rsidRPr="00DC5249" w:rsidR="00CF750D" w:rsidP="00CF750D" w:rsidRDefault="00CF750D" w14:paraId="7C44E0DC" w14:textId="7316CEBA">
            <w:pPr>
              <w:spacing w:after="0" w:line="240" w:lineRule="auto"/>
              <w:rPr>
                <w:rFonts w:eastAsia="Times New Roman" w:asciiTheme="minorBidi" w:hAnsiTheme="minorBidi"/>
                <w:color w:val="000000"/>
                <w:sz w:val="18"/>
                <w:szCs w:val="18"/>
              </w:rPr>
            </w:pPr>
            <w:r w:rsidRPr="006F16DE">
              <w:rPr>
                <w:rFonts w:eastAsia="Times New Roman" w:asciiTheme="minorBidi" w:hAnsiTheme="minorBidi"/>
                <w:color w:val="000000"/>
                <w:sz w:val="18"/>
                <w:szCs w:val="18"/>
              </w:rPr>
              <w:t>Set annual targets for staff completion of mandatory AML/CFT training, with minimum acceptable percentages</w:t>
            </w:r>
          </w:p>
        </w:tc>
      </w:tr>
    </w:tbl>
    <w:p w:rsidR="00DC5249" w:rsidP="00DC5249" w:rsidRDefault="00DC5249" w14:paraId="5A302EB9" w14:textId="43C0E42F">
      <w:pPr>
        <w:spacing w:after="200" w:line="276" w:lineRule="auto"/>
        <w:jc w:val="both"/>
        <w:rPr>
          <w:rFonts w:asciiTheme="minorBidi" w:hAnsiTheme="minorBidi"/>
          <w:sz w:val="20"/>
          <w:szCs w:val="20"/>
        </w:rPr>
      </w:pPr>
    </w:p>
    <w:sectPr w:rsidR="00DC5249" w:rsidSect="00DC3AC0">
      <w:footerReference w:type="default" r:id="R1d74cced88704d07"/>
      <w:footerReference w:type="first" r:id="R1d74cced88704d07"/>
      <w:headerReference w:type="default" r:id="Rfe840d018ed04a61"/>
      <w:headerReference w:type="first" r:id="Rfe840d018ed04a61"/>
      <w:pgSz w:w="12240" w:h="15840"/>
      <w:pgMar w:top="1260" w:right="1440" w:bottom="1440" w:left="1440" w:header="720" w:footer="720" w:gutter="0"/>
      <w:cols w:space="720"/>
      <w:titlePg/>
      <w:docGrid w:linePitch="360"/>
      <w:pgMar w:header="0" w:footer="0"/>
      <w:pgMar w:header="0" w:footer="0"/>
      <w:pgMar w:header="0" w:footer="0"/>
      <w:pgMar w:header="0" w:foo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C1D47" w14:textId="77777777" w:rsidR="00297354" w:rsidRDefault="00297354" w:rsidP="00285191">
      <w:pPr>
        <w:spacing w:after="0" w:line="240" w:lineRule="auto"/>
      </w:pPr>
      <w:r>
        <w:separator/>
      </w:r>
    </w:p>
  </w:endnote>
  <w:endnote w:type="continuationSeparator" w:id="0">
    <w:p w14:paraId="1A52A4E7" w14:textId="77777777" w:rsidR="00297354" w:rsidRDefault="00297354" w:rsidP="002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2.xml><?xml version="1.0" encoding="utf-8"?>
<w:ftr xmlns:w="http://schemas.openxmlformats.org/wordprocessingml/2006/main">
  <w:p>
    <w:r>
      <w:tbl>
        <w:tblPr>
          <w:tblBorders>
            <w:top w:val="single" w:sz="3"/>
            <w:bottom w:val="single" w:sz="3"/>
            <w:left w:val="single" w:sz="3"/>
            <w:right w:val="single" w:sz="3"/>
            <w:insideH w:val="single" w:sz="3"/>
            <w:insideV w:val="single" w:sz="3"/>
          </w:tblBorders>
        </w:tblPr>
        <w:tr>
          <w:tc>
            <w:p>
              <w:pPr>
                <w:jc w:val="center"/>
                <w:spacing w:before="0" w:after="0"/>
              </w:pPr>
              <w:r>
                <w:rPr>
                  <w:b/>
                  <w:rFonts w:ascii="Arial" w:hAnsi="Arial"/>
                  <w:sz w:val="18"/>
                </w:rPr>
                <w:t>Accountable</w:t>
              </w:r>
            </w:p>
            <w:tcPr>
              <w:tcW w:w="150" w:type="pct"/>
              <w:vAlign w:val="center"/>
            </w:tcPr>
          </w:tc>
          <w:tc>
            <w:p>
              <w:pPr>
                <w:jc w:val="center"/>
                <w:spacing w:before="0" w:after="0"/>
              </w:pPr>
              <w:r>
                <w:rPr>
                  <w:b/>
                  <w:rFonts w:ascii="Arial" w:hAnsi="Arial"/>
                  <w:sz w:val="18"/>
                </w:rPr>
                <w:t>Approval</w:t>
              </w:r>
            </w:p>
            <w:tcPr>
              <w:tcW w:w="150" w:type="pct"/>
              <w:vAlign w:val="center"/>
            </w:tcPr>
          </w:tc>
          <w:tc>
            <w:p>
              <w:pPr>
                <w:jc w:val="center"/>
                <w:spacing w:before="0" w:after="0"/>
              </w:pPr>
              <w:r>
                <w:rPr>
                  <w:b/>
                  <w:rFonts w:ascii="Arial" w:hAnsi="Arial"/>
                  <w:sz w:val="18"/>
                </w:rPr>
                <w:t>Enforcement Approval</w:t>
              </w:r>
            </w:p>
            <w:tcPr>
              <w:tcW w:w="150" w:type="pct"/>
              <w:vAlign w:val="center"/>
            </w:tcPr>
          </w:tc>
          <w:tc>
            <w:p>
              <w:pPr>
                <w:jc w:val="center"/>
                <w:spacing w:before="0" w:after="0"/>
              </w:pPr>
              <w:r>
                <w:rPr>
                  <w:b/>
                  <w:rFonts w:ascii="Arial" w:hAnsi="Arial"/>
                  <w:sz w:val="18"/>
                </w:rPr>
                <w:t>Security</w:t>
              </w:r>
            </w:p>
            <w:tcPr>
              <w:tcW w:w="150" w:type="pct"/>
              <w:vAlign w:val="center"/>
            </w:tcPr>
          </w:tc>
        </w:tr>
        <w:tr>
          <w:tc>
            <w:p>
              <w:pPr>
                <w:jc w:val="center"/>
                <w:spacing w:before="0" w:after="0"/>
              </w:pPr>
              <w:r>
                <w:rPr>
                  <w:b/>
                  <w:rFonts w:ascii="Arial" w:hAnsi="Arial"/>
                  <w:sz w:val="18"/>
                </w:rPr>
                <w:t>Iç Kontrol Ve Yasal Uyum Baskanligi</w:t>
              </w:r>
            </w:p>
            <w:tcPr>
              <w:tcW w:w="150" w:type="pct"/>
              <w:vAlign w:val="center"/>
            </w:tcPr>
          </w:tc>
          <w:tc>
            <w:p>
              <w:pPr>
                <w:jc w:val="center"/>
                <w:spacing w:before="0" w:after="0"/>
              </w:pPr>
              <w:r>
                <w:rPr>
                  <w:b/>
                  <w:rFonts w:ascii="Arial" w:hAnsi="Arial"/>
                  <w:sz w:val="18"/>
                </w:rPr>
                <w:t>Yönetim Kurulu</w:t>
              </w:r>
            </w:p>
            <w:tcPr>
              <w:tcW w:w="150" w:type="pct"/>
              <w:vAlign w:val="center"/>
            </w:tcPr>
          </w:tc>
          <w:tc>
            <w:p>
              <w:pPr>
                <w:jc w:val="center"/>
                <w:spacing w:before="0" w:after="0"/>
              </w:pPr>
              <w:r>
                <w:rPr>
                  <w:b/>
                  <w:rFonts w:ascii="Arial" w:hAnsi="Arial"/>
                  <w:sz w:val="18"/>
                </w:rPr>
                <w:t>Eda Kocaer Soydemir</w:t>
              </w:r>
            </w:p>
            <w:tcPr>
              <w:tcW w:w="150" w:type="pct"/>
              <w:vAlign w:val="center"/>
            </w:tcPr>
          </w:tc>
          <w:tc>
            <w:p>
              <w:pPr>
                <w:jc w:val="center"/>
                <w:spacing w:before="0" w:after="0"/>
              </w:pPr>
              <w:r>
                <w:rPr>
                  <w:b/>
                  <w:rFonts w:ascii="Arial" w:hAnsi="Arial"/>
                  <w:sz w:val="18"/>
                </w:rPr>
                <w:t>In-house</w:t>
              </w:r>
            </w:p>
            <w:tcPr>
              <w:tcW w:w="150" w:type="pct"/>
              <w:vAlign w:val="center"/>
            </w:tcPr>
          </w:tc>
        </w:tr>
      </w:tbl>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8C065" w14:textId="77777777" w:rsidR="00297354" w:rsidRDefault="00297354" w:rsidP="00285191">
      <w:pPr>
        <w:spacing w:after="0" w:line="240" w:lineRule="auto"/>
      </w:pPr>
      <w:r>
        <w:separator/>
      </w:r>
    </w:p>
  </w:footnote>
  <w:footnote w:type="continuationSeparator" w:id="0">
    <w:p w14:paraId="287A875B" w14:textId="77777777" w:rsidR="00297354" w:rsidRDefault="00297354" w:rsidP="00285191">
      <w:pPr>
        <w:spacing w:after="0" w:line="240" w:lineRule="auto"/>
      </w:pPr>
      <w:r>
        <w:continuationSeparator/>
      </w:r>
    </w:p>
  </w:footnote>
</w:footnotes>
</file>

<file path=word/header2.xml><?xml version="1.0" encoding="utf-8"?>
<w:hdr xmlns:w="http://schemas.openxmlformats.org/wordprocessingml/2006/main">
  <w:p>
    <w:pPr>
      <w:jc w:val="left"/>
      <w:spacing w:before="0" w:after="0"/>
    </w:pPr>
  </w:p>
  <w:p>
    <w:pPr>
      <w:jc w:val="left"/>
      <w:spacing w:before="0" w:after="8.5pt"/>
    </w:pPr>
    <w:r>
      <w:drawing>
        <wp:anchor xmlns:wp="http://schemas.openxmlformats.org/drawingml/2006/wordprocessingDrawing" distT="0" distB="0" distL="114300" distR="114300" simplePos="0" relativeHeight="251658240" behindDoc="1" locked="0" layoutInCell="1" allowOverlap="1">
          <wp:simplePos x="0" y="0"/>
          <wp:positionH relativeFrom="column">
            <wp:posOffset>-3600000</wp:posOffset>
          </wp:positionH>
          <wp:positionV relativeFrom="paragraph">
            <wp:posOffset>0</wp:posOffset>
          </wp:positionV>
          <wp:extent cx="1665000" cy="5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77c46d433e16488a" cstate="print">
                    <a:extLst>
                      <a:ext uri="{28A0092B-C50C-407E-A947-70E740481C1C}"/>
                    </a:extLst>
                  </a:blip>
                  <a:stretch>
                    <a:fillRect/>
                  </a:stretch>
                </pic:blipFill>
                <pic:spPr>
                  <a:xfrm>
                    <a:off x="0" y="0"/>
                    <a:ext cx="1665000" cy="560000"/>
                  </a:xfrm>
                  <a:prstGeom prst="rect">
                    <a:avLst/>
                  </a:prstGeom>
                </pic:spPr>
              </pic:pic>
            </a:graphicData>
          </a:graphic>
        </wp:anchor>
      </w:drawing>
    </w:r>
    <w:r>
      <w:tbl>
        <w:tblPr>
          <w:tblBorders>
            <w:top w:val="single" w:sz="3"/>
            <w:bottom w:val="single" w:sz="3"/>
            <w:left w:val="single" w:sz="3"/>
            <w:right w:val="single" w:sz="3"/>
            <w:insideH w:val="single" w:sz="3"/>
            <w:insideV w:val="single" w:sz="3"/>
          </w:tblBorders>
          <w:jc w:val="right"/>
        </w:tblPr>
        <w:tr>
          <w:tc>
            <w:p>
              <w:pPr>
                <w:jc w:val="left"/>
                <w:spacing w:before="0" w:after="0"/>
              </w:pPr>
              <w:r>
                <w:rPr>
                  <w:b/>
                  <w:sz w:val="18"/>
                  <w:rFonts w:ascii="Arial" w:hAnsi="Arial"/>
                </w:rPr>
                <w:t>Code : POL.00098</w:t>
              </w:r>
            </w:p>
            <w:tcPr>
              <w:tcW w:w="3780" w:type="dxa"/>
              <w:vAlign w:val="center"/>
            </w:tcPr>
          </w:tc>
        </w:tr>
        <w:tr>
          <w:tc>
            <w:p>
              <w:pPr>
                <w:jc w:val="left"/>
                <w:spacing w:before="0" w:after="0"/>
              </w:pPr>
              <w:r>
                <w:rPr>
                  <w:b/>
                  <w:sz w:val="18"/>
                  <w:rFonts w:ascii="Arial" w:hAnsi="Arial"/>
                </w:rPr>
                <w:t>Original Date : 09.02.2026 11:42:29</w:t>
              </w:r>
            </w:p>
            <w:tcPr>
              <w:tcW w:w="3780" w:type="dxa"/>
              <w:vAlign w:val="center"/>
            </w:tcPr>
          </w:tc>
        </w:tr>
        <w:tr>
          <w:tc>
            <w:p>
              <w:pPr>
                <w:jc w:val="left"/>
                <w:spacing w:before="0" w:after="0"/>
              </w:pPr>
              <w:r>
                <w:rPr>
                  <w:b/>
                  <w:sz w:val="18"/>
                  <w:rFonts w:ascii="Arial" w:hAnsi="Arial"/>
                </w:rPr>
                <w:t>Effective Date : 09.02.2026 11:42:29</w:t>
              </w:r>
            </w:p>
            <w:tcPr>
              <w:tcW w:w="3780" w:type="dxa"/>
              <w:vAlign w:val="center"/>
            </w:tcPr>
          </w:tc>
        </w:tr>
        <w:tr>
          <w:tc>
            <w:p>
              <w:pPr>
                <w:jc w:val="left"/>
                <w:spacing w:before="0" w:after="0"/>
              </w:pPr>
              <w:r>
                <w:rPr>
                  <w:b/>
                  <w:sz w:val="18"/>
                  <w:rFonts w:ascii="Arial" w:hAnsi="Arial"/>
                </w:rPr>
                <w:t>Revision No : 0</w:t>
              </w:r>
            </w:p>
            <w:tcPr>
              <w:tcW w:w="3780" w:type="dxa"/>
              <w:vAlign w:val="center"/>
            </w:tcPr>
          </w:tc>
        </w:tr>
        <w:tr>
          <w:tc>
            <w:p>
              <w:pPr>
                <w:jc w:val="left"/>
                <w:spacing w:before="0" w:after="0"/>
              </w:pPr>
              <w:r>
                <w:r>
                  <w:rPr>
                    <w:b/>
                    <w:sz w:val="18"/>
                    <w:rFonts w:ascii="Arial"/>
                  </w:rPr>
                  <w:t>Page No : </w:t>
                </w:r>
                <w:fldSimple w:instr="PAGE \* MERGEFORMAT">
                  <w:r>
                    <w:r>
                      <w:rPr>
                        <w:b/>
                        <w:sz w:val="18"/>
                        <w:rFonts w:ascii="Arial"/>
                      </w:rPr>
                      <w:t>1</w:t>
                    </w:r>
                  </w:r>
                </w:fldSimple>
                <w:r>
                  <w:rPr>
                    <w:b/>
                    <w:sz w:val="18"/>
                    <w:rFonts w:ascii="Arial"/>
                  </w:rPr>
                  <w:t>/</w:t>
                </w:r>
                <w:fldSimple w:instr="NUMPAGES \* MERGEFORMAT">
                  <w:r>
                    <w:r>
                      <w:rPr>
                        <w:b/>
                        <w:sz w:val="18"/>
                        <w:rFonts w:ascii="Arial"/>
                      </w:rPr>
                      <w:t>2</w:t>
                    </w:r>
                  </w:r>
                </w:fldSimple>
              </w:r>
            </w:p>
            <w:tcPr>
              <w:tcW w:w="3780" w:type="dxa"/>
              <w:vAlign w:val="center"/>
            </w:tcPr>
          </w:tc>
        </w:tr>
      </w:tbl>
    </w:r>
  </w:p>
  <w:p>
    <w:r>
      <w:tbl>
        <w:tblPr>
          <w:tblBorders>
            <w:top w:val="single" w:sz="3"/>
            <w:bottom w:val="single" w:sz="3"/>
            <w:left w:val="single" w:sz="3"/>
            <w:right w:val="single" w:sz="3"/>
            <w:insideH w:val="single" w:sz="3"/>
            <w:insideV w:val="single" w:sz="3"/>
          </w:tblBorders>
        </w:tblPr>
        <w:tr>
          <w:tc>
            <w:p>
              <w:pPr>
                <w:jc w:val="center"/>
                <w:spacing w:before="0" w:after="0"/>
              </w:pPr>
              <w:r>
                <w:rPr>
                  <w:b/>
                  <w:rFonts w:ascii="Arial" w:hAnsi="Arial"/>
                  <w:sz w:val="32"/>
                </w:rPr>
                <w:t>FINANCIAL CRIME RISK APPETITE STATEMENT</w:t>
              </w:r>
            </w:p>
            <w:tcPr>
              <w:tcW w:w="150" w:type="pct"/>
              <w:vAlign w:val="center"/>
            </w:tcPr>
          </w:tc>
        </w:tr>
      </w:tbl>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00B5C"/>
    <w:multiLevelType w:val="hybridMultilevel"/>
    <w:tmpl w:val="0616F0D8"/>
    <w:lvl w:ilvl="0" w:tplc="04090001">
      <w:start w:val="1"/>
      <w:numFmt w:val="bullet"/>
      <w:lvlText w:val=""/>
      <w:lvlJc w:val="left"/>
      <w:pPr>
        <w:ind w:left="1288" w:hanging="360"/>
      </w:pPr>
      <w:rPr>
        <w:rFonts w:ascii="Symbol" w:hAnsi="Symbol" w:hint="default"/>
      </w:rPr>
    </w:lvl>
    <w:lvl w:ilvl="1" w:tplc="04090003">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 w15:restartNumberingAfterBreak="0">
    <w:nsid w:val="1B1F2967"/>
    <w:multiLevelType w:val="hybridMultilevel"/>
    <w:tmpl w:val="AC140D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171D7"/>
    <w:multiLevelType w:val="multilevel"/>
    <w:tmpl w:val="463E2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7209A4"/>
    <w:multiLevelType w:val="multilevel"/>
    <w:tmpl w:val="F3BE7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7435ED"/>
    <w:multiLevelType w:val="multilevel"/>
    <w:tmpl w:val="FC40D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EB42F3"/>
    <w:multiLevelType w:val="hybridMultilevel"/>
    <w:tmpl w:val="33E8B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852A5F"/>
    <w:multiLevelType w:val="hybridMultilevel"/>
    <w:tmpl w:val="BEC89144"/>
    <w:lvl w:ilvl="0" w:tplc="0409000F">
      <w:start w:val="1"/>
      <w:numFmt w:val="decimal"/>
      <w:lvlText w:val="%1."/>
      <w:lvlJc w:val="left"/>
      <w:pPr>
        <w:ind w:left="720" w:hanging="360"/>
      </w:pPr>
    </w:lvl>
    <w:lvl w:ilvl="1" w:tplc="5678CDDE">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7E005E"/>
    <w:multiLevelType w:val="multilevel"/>
    <w:tmpl w:val="8932A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E12855"/>
    <w:multiLevelType w:val="hybridMultilevel"/>
    <w:tmpl w:val="FEC67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6443100">
    <w:abstractNumId w:val="8"/>
  </w:num>
  <w:num w:numId="2" w16cid:durableId="752628148">
    <w:abstractNumId w:val="2"/>
  </w:num>
  <w:num w:numId="3" w16cid:durableId="270668475">
    <w:abstractNumId w:val="3"/>
  </w:num>
  <w:num w:numId="4" w16cid:durableId="1366446172">
    <w:abstractNumId w:val="7"/>
  </w:num>
  <w:num w:numId="5" w16cid:durableId="2101756015">
    <w:abstractNumId w:val="4"/>
  </w:num>
  <w:num w:numId="6" w16cid:durableId="1426076274">
    <w:abstractNumId w:val="0"/>
  </w:num>
  <w:num w:numId="7" w16cid:durableId="2114737825">
    <w:abstractNumId w:val="1"/>
  </w:num>
  <w:num w:numId="8" w16cid:durableId="495077654">
    <w:abstractNumId w:val="5"/>
  </w:num>
  <w:num w:numId="9" w16cid:durableId="12844607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FD6"/>
    <w:rsid w:val="00011AA1"/>
    <w:rsid w:val="0002001A"/>
    <w:rsid w:val="00025FCC"/>
    <w:rsid w:val="00034ADE"/>
    <w:rsid w:val="000423CA"/>
    <w:rsid w:val="00044B47"/>
    <w:rsid w:val="00065D36"/>
    <w:rsid w:val="000733B9"/>
    <w:rsid w:val="000744D3"/>
    <w:rsid w:val="000809A6"/>
    <w:rsid w:val="000A7990"/>
    <w:rsid w:val="000B545E"/>
    <w:rsid w:val="000C77BC"/>
    <w:rsid w:val="000C7C20"/>
    <w:rsid w:val="000D5ED8"/>
    <w:rsid w:val="00115BDA"/>
    <w:rsid w:val="0012168F"/>
    <w:rsid w:val="00142F6A"/>
    <w:rsid w:val="0016323E"/>
    <w:rsid w:val="00167E04"/>
    <w:rsid w:val="0018769B"/>
    <w:rsid w:val="00197D24"/>
    <w:rsid w:val="001A2C8D"/>
    <w:rsid w:val="001A6799"/>
    <w:rsid w:val="001D37E6"/>
    <w:rsid w:val="001E16C5"/>
    <w:rsid w:val="00204723"/>
    <w:rsid w:val="0021790F"/>
    <w:rsid w:val="00217CEF"/>
    <w:rsid w:val="002249C7"/>
    <w:rsid w:val="002266C1"/>
    <w:rsid w:val="00230F8A"/>
    <w:rsid w:val="002327B6"/>
    <w:rsid w:val="00270AE5"/>
    <w:rsid w:val="002740C7"/>
    <w:rsid w:val="00285191"/>
    <w:rsid w:val="00285317"/>
    <w:rsid w:val="00297354"/>
    <w:rsid w:val="002A6898"/>
    <w:rsid w:val="002A7521"/>
    <w:rsid w:val="002B1ECC"/>
    <w:rsid w:val="002C1C8A"/>
    <w:rsid w:val="002F3B52"/>
    <w:rsid w:val="002F7C22"/>
    <w:rsid w:val="003249ED"/>
    <w:rsid w:val="00331BA3"/>
    <w:rsid w:val="003372C7"/>
    <w:rsid w:val="00340E7E"/>
    <w:rsid w:val="003426B1"/>
    <w:rsid w:val="00351120"/>
    <w:rsid w:val="0035252F"/>
    <w:rsid w:val="00384638"/>
    <w:rsid w:val="003871E8"/>
    <w:rsid w:val="003A05D2"/>
    <w:rsid w:val="003B27CA"/>
    <w:rsid w:val="003C5B64"/>
    <w:rsid w:val="003D40DF"/>
    <w:rsid w:val="003E42AA"/>
    <w:rsid w:val="003E77BD"/>
    <w:rsid w:val="003F60DA"/>
    <w:rsid w:val="003F6D7A"/>
    <w:rsid w:val="00401D98"/>
    <w:rsid w:val="00410210"/>
    <w:rsid w:val="0041523F"/>
    <w:rsid w:val="004157BE"/>
    <w:rsid w:val="00424EA1"/>
    <w:rsid w:val="0045437D"/>
    <w:rsid w:val="00455BDC"/>
    <w:rsid w:val="004578D0"/>
    <w:rsid w:val="00475813"/>
    <w:rsid w:val="004937C8"/>
    <w:rsid w:val="004A5B5B"/>
    <w:rsid w:val="004A5FC8"/>
    <w:rsid w:val="004C06ED"/>
    <w:rsid w:val="004C1CB6"/>
    <w:rsid w:val="004D155B"/>
    <w:rsid w:val="00500268"/>
    <w:rsid w:val="00503779"/>
    <w:rsid w:val="005362B9"/>
    <w:rsid w:val="00567D12"/>
    <w:rsid w:val="005726E4"/>
    <w:rsid w:val="0057614B"/>
    <w:rsid w:val="005C1495"/>
    <w:rsid w:val="005E7D76"/>
    <w:rsid w:val="005F0963"/>
    <w:rsid w:val="005F5075"/>
    <w:rsid w:val="00610B6B"/>
    <w:rsid w:val="00614429"/>
    <w:rsid w:val="00615184"/>
    <w:rsid w:val="00621742"/>
    <w:rsid w:val="00622586"/>
    <w:rsid w:val="00640D9A"/>
    <w:rsid w:val="00650376"/>
    <w:rsid w:val="00673DCF"/>
    <w:rsid w:val="00675B29"/>
    <w:rsid w:val="00681D27"/>
    <w:rsid w:val="006940A9"/>
    <w:rsid w:val="006964D1"/>
    <w:rsid w:val="006A1ED8"/>
    <w:rsid w:val="006C22C7"/>
    <w:rsid w:val="00704AF6"/>
    <w:rsid w:val="00721964"/>
    <w:rsid w:val="00730C5B"/>
    <w:rsid w:val="00742C53"/>
    <w:rsid w:val="00750D73"/>
    <w:rsid w:val="00766666"/>
    <w:rsid w:val="00770C6E"/>
    <w:rsid w:val="00776538"/>
    <w:rsid w:val="007855BA"/>
    <w:rsid w:val="00785DF8"/>
    <w:rsid w:val="00793C95"/>
    <w:rsid w:val="0079789B"/>
    <w:rsid w:val="007A0B64"/>
    <w:rsid w:val="007B14BF"/>
    <w:rsid w:val="007B4358"/>
    <w:rsid w:val="007D026F"/>
    <w:rsid w:val="007D17D0"/>
    <w:rsid w:val="007D3F77"/>
    <w:rsid w:val="007D493E"/>
    <w:rsid w:val="007E0E32"/>
    <w:rsid w:val="00811F13"/>
    <w:rsid w:val="00851BB4"/>
    <w:rsid w:val="00854F34"/>
    <w:rsid w:val="00863E11"/>
    <w:rsid w:val="0086661F"/>
    <w:rsid w:val="00873B91"/>
    <w:rsid w:val="008A218C"/>
    <w:rsid w:val="008A7420"/>
    <w:rsid w:val="008B33FE"/>
    <w:rsid w:val="008D794D"/>
    <w:rsid w:val="00905AF1"/>
    <w:rsid w:val="00907AF6"/>
    <w:rsid w:val="00917E68"/>
    <w:rsid w:val="009250CA"/>
    <w:rsid w:val="00926C55"/>
    <w:rsid w:val="009375D6"/>
    <w:rsid w:val="0094181D"/>
    <w:rsid w:val="00957F9D"/>
    <w:rsid w:val="0096665C"/>
    <w:rsid w:val="00973D46"/>
    <w:rsid w:val="009A1624"/>
    <w:rsid w:val="009A5FE3"/>
    <w:rsid w:val="009A7547"/>
    <w:rsid w:val="009C17C7"/>
    <w:rsid w:val="009C1D98"/>
    <w:rsid w:val="009C4E8D"/>
    <w:rsid w:val="009E1DCF"/>
    <w:rsid w:val="009E47C1"/>
    <w:rsid w:val="009F3E04"/>
    <w:rsid w:val="009F4A0E"/>
    <w:rsid w:val="009F7C00"/>
    <w:rsid w:val="00A172DE"/>
    <w:rsid w:val="00A2485E"/>
    <w:rsid w:val="00A301EC"/>
    <w:rsid w:val="00A30D5F"/>
    <w:rsid w:val="00A477EA"/>
    <w:rsid w:val="00A523E9"/>
    <w:rsid w:val="00A55E67"/>
    <w:rsid w:val="00A61925"/>
    <w:rsid w:val="00A65175"/>
    <w:rsid w:val="00A7055D"/>
    <w:rsid w:val="00A86E29"/>
    <w:rsid w:val="00AB0FD2"/>
    <w:rsid w:val="00AD5B4E"/>
    <w:rsid w:val="00AE11F5"/>
    <w:rsid w:val="00AE50AB"/>
    <w:rsid w:val="00AE61A3"/>
    <w:rsid w:val="00AE64E3"/>
    <w:rsid w:val="00AE7EC8"/>
    <w:rsid w:val="00AF1DA1"/>
    <w:rsid w:val="00AF4085"/>
    <w:rsid w:val="00B14E53"/>
    <w:rsid w:val="00B41444"/>
    <w:rsid w:val="00B44240"/>
    <w:rsid w:val="00B520A7"/>
    <w:rsid w:val="00B52A38"/>
    <w:rsid w:val="00B7565C"/>
    <w:rsid w:val="00B777DA"/>
    <w:rsid w:val="00B91258"/>
    <w:rsid w:val="00BC0C75"/>
    <w:rsid w:val="00BC7C8C"/>
    <w:rsid w:val="00BD3293"/>
    <w:rsid w:val="00BD4962"/>
    <w:rsid w:val="00BD55FC"/>
    <w:rsid w:val="00BF14CB"/>
    <w:rsid w:val="00BF3D79"/>
    <w:rsid w:val="00BF5AD8"/>
    <w:rsid w:val="00C04445"/>
    <w:rsid w:val="00C16B00"/>
    <w:rsid w:val="00C17E5F"/>
    <w:rsid w:val="00C22AD8"/>
    <w:rsid w:val="00C24FD6"/>
    <w:rsid w:val="00C61D4F"/>
    <w:rsid w:val="00C63F77"/>
    <w:rsid w:val="00C663B2"/>
    <w:rsid w:val="00C671B3"/>
    <w:rsid w:val="00CA268F"/>
    <w:rsid w:val="00CA4BDF"/>
    <w:rsid w:val="00CB6C03"/>
    <w:rsid w:val="00CD759F"/>
    <w:rsid w:val="00CD7A25"/>
    <w:rsid w:val="00CE5756"/>
    <w:rsid w:val="00CE77CE"/>
    <w:rsid w:val="00CF750D"/>
    <w:rsid w:val="00CF7917"/>
    <w:rsid w:val="00D00247"/>
    <w:rsid w:val="00D15BBE"/>
    <w:rsid w:val="00D50202"/>
    <w:rsid w:val="00D52A26"/>
    <w:rsid w:val="00D56992"/>
    <w:rsid w:val="00D571FB"/>
    <w:rsid w:val="00D65A90"/>
    <w:rsid w:val="00D71818"/>
    <w:rsid w:val="00D83D22"/>
    <w:rsid w:val="00DC3AC0"/>
    <w:rsid w:val="00DC3F93"/>
    <w:rsid w:val="00DC5249"/>
    <w:rsid w:val="00DE2E25"/>
    <w:rsid w:val="00DE4E6A"/>
    <w:rsid w:val="00E009FF"/>
    <w:rsid w:val="00E2166B"/>
    <w:rsid w:val="00E44203"/>
    <w:rsid w:val="00E6799E"/>
    <w:rsid w:val="00E7491C"/>
    <w:rsid w:val="00E81FB4"/>
    <w:rsid w:val="00E82EAC"/>
    <w:rsid w:val="00E97F3D"/>
    <w:rsid w:val="00EE6729"/>
    <w:rsid w:val="00EF1A39"/>
    <w:rsid w:val="00F01298"/>
    <w:rsid w:val="00F041A8"/>
    <w:rsid w:val="00F11C84"/>
    <w:rsid w:val="00F31FC3"/>
    <w:rsid w:val="00F40B5C"/>
    <w:rsid w:val="00F41A10"/>
    <w:rsid w:val="00F50E99"/>
    <w:rsid w:val="00F55B1E"/>
    <w:rsid w:val="00F7237A"/>
    <w:rsid w:val="00F90245"/>
    <w:rsid w:val="00F96D68"/>
    <w:rsid w:val="00FB1122"/>
    <w:rsid w:val="00FF2E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35F09"/>
  <w15:chartTrackingRefBased/>
  <w15:docId w15:val="{FFD6E447-ADC7-48D8-B8D4-2B8549EA2D4F}"/>
  <w:trackRevisions w:val="true"/>
  <w:revisionView w:markup="false" w:comments="false" w:insDel="true"/>
  <w:trackRevisions w:val="true"/>
  <w:revisionView w:markup="false" w:comments="false" w:insDel="true"/>
  <w:trackRevisions w:val="true"/>
  <w:revisionView w:markup="false" w:comments="false" w:insDel="true"/>
  <w:trackRevisions w:val="true"/>
  <w:revisionView w:markup="false" w:comments="false" w:insDel="true"/>
  <w:trackRevisions w:val="true"/>
  <w:revisionView w:markup="false" w:comments="false" w:insDe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9"/>
    <w:qFormat/>
    <w:rsid w:val="00401D98"/>
    <w:pPr>
      <w:keepNext/>
      <w:tabs>
        <w:tab w:val="left" w:pos="567"/>
        <w:tab w:val="left" w:pos="720"/>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s>
      <w:spacing w:after="0" w:line="360" w:lineRule="auto"/>
      <w:jc w:val="both"/>
      <w:outlineLvl w:val="0"/>
    </w:pPr>
    <w:rPr>
      <w:rFonts w:ascii="Arial" w:eastAsia="Batang" w:hAnsi="Arial" w:cs="Arial"/>
      <w:b/>
      <w:color w:val="0070C0"/>
      <w:sz w:val="24"/>
      <w:szCs w:val="24"/>
    </w:rPr>
  </w:style>
  <w:style w:type="paragraph" w:styleId="Heading2">
    <w:name w:val="heading 2"/>
    <w:basedOn w:val="Normal"/>
    <w:next w:val="Normal"/>
    <w:link w:val="Heading2Char"/>
    <w:uiPriority w:val="9"/>
    <w:semiHidden/>
    <w:unhideWhenUsed/>
    <w:qFormat/>
    <w:rsid w:val="00AB0F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854F34"/>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C24FD6"/>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rsid w:val="00854F34"/>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Heading1Char">
    <w:name w:val="Heading 1 Char"/>
    <w:basedOn w:val="DefaultParagraphFont"/>
    <w:link w:val="Heading1"/>
    <w:uiPriority w:val="99"/>
    <w:rsid w:val="00401D98"/>
    <w:rPr>
      <w:rFonts w:ascii="Arial" w:eastAsia="Batang" w:hAnsi="Arial" w:cs="Arial"/>
      <w:b/>
      <w:color w:val="0070C0"/>
      <w:sz w:val="24"/>
      <w:szCs w:val="24"/>
      <w:lang w:val="tr-TR"/>
    </w:rPr>
  </w:style>
  <w:style w:type="paragraph" w:styleId="ListParagraph">
    <w:name w:val="List Paragraph"/>
    <w:basedOn w:val="Normal"/>
    <w:link w:val="ListParagraphChar"/>
    <w:uiPriority w:val="34"/>
    <w:qFormat/>
    <w:rsid w:val="00854F34"/>
    <w:pPr>
      <w:ind w:left="720"/>
      <w:contextualSpacing/>
    </w:pPr>
  </w:style>
  <w:style w:type="character" w:customStyle="1" w:styleId="Heading4Char">
    <w:name w:val="Heading 4 Char"/>
    <w:basedOn w:val="DefaultParagraphFont"/>
    <w:link w:val="Heading4"/>
    <w:uiPriority w:val="9"/>
    <w:rsid w:val="00854F34"/>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7E0E32"/>
    <w:pPr>
      <w:keepLines/>
      <w:tabs>
        <w:tab w:val="clear" w:pos="567"/>
        <w:tab w:val="clear" w:pos="720"/>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7E0E32"/>
    <w:pPr>
      <w:spacing w:after="100"/>
    </w:pPr>
  </w:style>
  <w:style w:type="character" w:styleId="Hyperlink">
    <w:name w:val="Hyperlink"/>
    <w:basedOn w:val="DefaultParagraphFont"/>
    <w:uiPriority w:val="99"/>
    <w:unhideWhenUsed/>
    <w:rsid w:val="007E0E32"/>
    <w:rPr>
      <w:color w:val="0563C1" w:themeColor="hyperlink"/>
      <w:u w:val="single"/>
    </w:rPr>
  </w:style>
  <w:style w:type="character" w:styleId="CommentReference">
    <w:name w:val="annotation reference"/>
    <w:basedOn w:val="DefaultParagraphFont"/>
    <w:uiPriority w:val="99"/>
    <w:semiHidden/>
    <w:unhideWhenUsed/>
    <w:rsid w:val="003B27CA"/>
    <w:rPr>
      <w:sz w:val="16"/>
      <w:szCs w:val="16"/>
    </w:rPr>
  </w:style>
  <w:style w:type="paragraph" w:styleId="CommentText">
    <w:name w:val="annotation text"/>
    <w:basedOn w:val="Normal"/>
    <w:link w:val="CommentTextChar"/>
    <w:uiPriority w:val="99"/>
    <w:semiHidden/>
    <w:unhideWhenUsed/>
    <w:rsid w:val="003B27CA"/>
    <w:pPr>
      <w:spacing w:line="240" w:lineRule="auto"/>
    </w:pPr>
    <w:rPr>
      <w:sz w:val="20"/>
      <w:szCs w:val="20"/>
    </w:rPr>
  </w:style>
  <w:style w:type="character" w:customStyle="1" w:styleId="CommentTextChar">
    <w:name w:val="Comment Text Char"/>
    <w:basedOn w:val="DefaultParagraphFont"/>
    <w:link w:val="CommentText"/>
    <w:uiPriority w:val="99"/>
    <w:semiHidden/>
    <w:rsid w:val="003B27CA"/>
    <w:rPr>
      <w:sz w:val="20"/>
      <w:szCs w:val="20"/>
    </w:rPr>
  </w:style>
  <w:style w:type="paragraph" w:styleId="CommentSubject">
    <w:name w:val="annotation subject"/>
    <w:basedOn w:val="CommentText"/>
    <w:next w:val="CommentText"/>
    <w:link w:val="CommentSubjectChar"/>
    <w:uiPriority w:val="99"/>
    <w:semiHidden/>
    <w:unhideWhenUsed/>
    <w:rsid w:val="003B27CA"/>
    <w:rPr>
      <w:b/>
      <w:bCs/>
    </w:rPr>
  </w:style>
  <w:style w:type="character" w:customStyle="1" w:styleId="CommentSubjectChar">
    <w:name w:val="Comment Subject Char"/>
    <w:basedOn w:val="CommentTextChar"/>
    <w:link w:val="CommentSubject"/>
    <w:uiPriority w:val="99"/>
    <w:semiHidden/>
    <w:rsid w:val="003B27CA"/>
    <w:rPr>
      <w:b/>
      <w:bCs/>
      <w:sz w:val="20"/>
      <w:szCs w:val="20"/>
    </w:rPr>
  </w:style>
  <w:style w:type="paragraph" w:styleId="BalloonText">
    <w:name w:val="Balloon Text"/>
    <w:basedOn w:val="Normal"/>
    <w:link w:val="BalloonTextChar"/>
    <w:uiPriority w:val="99"/>
    <w:semiHidden/>
    <w:unhideWhenUsed/>
    <w:rsid w:val="003B27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7CA"/>
    <w:rPr>
      <w:rFonts w:ascii="Segoe UI" w:hAnsi="Segoe UI" w:cs="Segoe UI"/>
      <w:sz w:val="18"/>
      <w:szCs w:val="18"/>
    </w:rPr>
  </w:style>
  <w:style w:type="paragraph" w:styleId="BodyText">
    <w:name w:val="Body Text"/>
    <w:basedOn w:val="Normal"/>
    <w:link w:val="BodyTextChar"/>
    <w:uiPriority w:val="1"/>
    <w:qFormat/>
    <w:rsid w:val="003B27CA"/>
    <w:pPr>
      <w:widowControl w:val="0"/>
      <w:autoSpaceDE w:val="0"/>
      <w:autoSpaceDN w:val="0"/>
      <w:spacing w:after="0" w:line="240" w:lineRule="auto"/>
    </w:pPr>
    <w:rPr>
      <w:rFonts w:ascii="Arial" w:eastAsia="Arial" w:hAnsi="Arial" w:cs="Arial"/>
      <w:sz w:val="18"/>
      <w:szCs w:val="18"/>
    </w:rPr>
  </w:style>
  <w:style w:type="character" w:customStyle="1" w:styleId="BodyTextChar">
    <w:name w:val="Body Text Char"/>
    <w:basedOn w:val="DefaultParagraphFont"/>
    <w:link w:val="BodyText"/>
    <w:uiPriority w:val="1"/>
    <w:rsid w:val="003B27CA"/>
    <w:rPr>
      <w:rFonts w:ascii="Arial" w:eastAsia="Arial" w:hAnsi="Arial" w:cs="Arial"/>
      <w:sz w:val="18"/>
      <w:szCs w:val="18"/>
    </w:rPr>
  </w:style>
  <w:style w:type="table" w:styleId="TableGrid">
    <w:name w:val="Table Grid"/>
    <w:basedOn w:val="TableNormal"/>
    <w:uiPriority w:val="39"/>
    <w:rsid w:val="003B27C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B0FD2"/>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basedOn w:val="DefaultParagraphFont"/>
    <w:link w:val="ListParagraph"/>
    <w:uiPriority w:val="34"/>
    <w:locked/>
    <w:rsid w:val="00AB0FD2"/>
  </w:style>
  <w:style w:type="paragraph" w:styleId="Header">
    <w:name w:val="header"/>
    <w:basedOn w:val="Normal"/>
    <w:link w:val="HeaderChar"/>
    <w:uiPriority w:val="99"/>
    <w:unhideWhenUsed/>
    <w:rsid w:val="00285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191"/>
  </w:style>
  <w:style w:type="paragraph" w:styleId="Footer">
    <w:name w:val="footer"/>
    <w:basedOn w:val="Normal"/>
    <w:link w:val="FooterChar"/>
    <w:uiPriority w:val="99"/>
    <w:unhideWhenUsed/>
    <w:rsid w:val="00285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91"/>
  </w:style>
  <w:style w:type="paragraph" w:styleId="Revision">
    <w:name w:val="Revision"/>
    <w:hidden/>
    <w:uiPriority w:val="99"/>
    <w:semiHidden/>
    <w:rsid w:val="000A79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9799">
      <w:bodyDiv w:val="1"/>
      <w:marLeft w:val="0"/>
      <w:marRight w:val="0"/>
      <w:marTop w:val="0"/>
      <w:marBottom w:val="0"/>
      <w:divBdr>
        <w:top w:val="none" w:sz="0" w:space="0" w:color="auto"/>
        <w:left w:val="none" w:sz="0" w:space="0" w:color="auto"/>
        <w:bottom w:val="none" w:sz="0" w:space="0" w:color="auto"/>
        <w:right w:val="none" w:sz="0" w:space="0" w:color="auto"/>
      </w:divBdr>
      <w:divsChild>
        <w:div w:id="1440678509">
          <w:marLeft w:val="360"/>
          <w:marRight w:val="0"/>
          <w:marTop w:val="150"/>
          <w:marBottom w:val="0"/>
          <w:divBdr>
            <w:top w:val="none" w:sz="0" w:space="0" w:color="auto"/>
            <w:left w:val="none" w:sz="0" w:space="0" w:color="auto"/>
            <w:bottom w:val="none" w:sz="0" w:space="0" w:color="auto"/>
            <w:right w:val="none" w:sz="0" w:space="0" w:color="auto"/>
          </w:divBdr>
        </w:div>
      </w:divsChild>
    </w:div>
    <w:div w:id="172841574">
      <w:bodyDiv w:val="1"/>
      <w:marLeft w:val="0"/>
      <w:marRight w:val="0"/>
      <w:marTop w:val="0"/>
      <w:marBottom w:val="0"/>
      <w:divBdr>
        <w:top w:val="none" w:sz="0" w:space="0" w:color="auto"/>
        <w:left w:val="none" w:sz="0" w:space="0" w:color="auto"/>
        <w:bottom w:val="none" w:sz="0" w:space="0" w:color="auto"/>
        <w:right w:val="none" w:sz="0" w:space="0" w:color="auto"/>
      </w:divBdr>
    </w:div>
    <w:div w:id="236868029">
      <w:bodyDiv w:val="1"/>
      <w:marLeft w:val="0"/>
      <w:marRight w:val="0"/>
      <w:marTop w:val="0"/>
      <w:marBottom w:val="0"/>
      <w:divBdr>
        <w:top w:val="none" w:sz="0" w:space="0" w:color="auto"/>
        <w:left w:val="none" w:sz="0" w:space="0" w:color="auto"/>
        <w:bottom w:val="none" w:sz="0" w:space="0" w:color="auto"/>
        <w:right w:val="none" w:sz="0" w:space="0" w:color="auto"/>
      </w:divBdr>
      <w:divsChild>
        <w:div w:id="1245915916">
          <w:marLeft w:val="360"/>
          <w:marRight w:val="0"/>
          <w:marTop w:val="150"/>
          <w:marBottom w:val="0"/>
          <w:divBdr>
            <w:top w:val="none" w:sz="0" w:space="0" w:color="auto"/>
            <w:left w:val="none" w:sz="0" w:space="0" w:color="auto"/>
            <w:bottom w:val="none" w:sz="0" w:space="0" w:color="auto"/>
            <w:right w:val="none" w:sz="0" w:space="0" w:color="auto"/>
          </w:divBdr>
        </w:div>
      </w:divsChild>
    </w:div>
    <w:div w:id="261570464">
      <w:bodyDiv w:val="1"/>
      <w:marLeft w:val="0"/>
      <w:marRight w:val="0"/>
      <w:marTop w:val="0"/>
      <w:marBottom w:val="0"/>
      <w:divBdr>
        <w:top w:val="none" w:sz="0" w:space="0" w:color="auto"/>
        <w:left w:val="none" w:sz="0" w:space="0" w:color="auto"/>
        <w:bottom w:val="none" w:sz="0" w:space="0" w:color="auto"/>
        <w:right w:val="none" w:sz="0" w:space="0" w:color="auto"/>
      </w:divBdr>
    </w:div>
    <w:div w:id="719742694">
      <w:bodyDiv w:val="1"/>
      <w:marLeft w:val="0"/>
      <w:marRight w:val="0"/>
      <w:marTop w:val="0"/>
      <w:marBottom w:val="0"/>
      <w:divBdr>
        <w:top w:val="none" w:sz="0" w:space="0" w:color="auto"/>
        <w:left w:val="none" w:sz="0" w:space="0" w:color="auto"/>
        <w:bottom w:val="none" w:sz="0" w:space="0" w:color="auto"/>
        <w:right w:val="none" w:sz="0" w:space="0" w:color="auto"/>
      </w:divBdr>
    </w:div>
    <w:div w:id="838814591">
      <w:bodyDiv w:val="1"/>
      <w:marLeft w:val="0"/>
      <w:marRight w:val="0"/>
      <w:marTop w:val="0"/>
      <w:marBottom w:val="0"/>
      <w:divBdr>
        <w:top w:val="none" w:sz="0" w:space="0" w:color="auto"/>
        <w:left w:val="none" w:sz="0" w:space="0" w:color="auto"/>
        <w:bottom w:val="none" w:sz="0" w:space="0" w:color="auto"/>
        <w:right w:val="none" w:sz="0" w:space="0" w:color="auto"/>
      </w:divBdr>
    </w:div>
    <w:div w:id="938686148">
      <w:bodyDiv w:val="1"/>
      <w:marLeft w:val="0"/>
      <w:marRight w:val="0"/>
      <w:marTop w:val="0"/>
      <w:marBottom w:val="0"/>
      <w:divBdr>
        <w:top w:val="none" w:sz="0" w:space="0" w:color="auto"/>
        <w:left w:val="none" w:sz="0" w:space="0" w:color="auto"/>
        <w:bottom w:val="none" w:sz="0" w:space="0" w:color="auto"/>
        <w:right w:val="none" w:sz="0" w:space="0" w:color="auto"/>
      </w:divBdr>
    </w:div>
    <w:div w:id="1049500412">
      <w:bodyDiv w:val="1"/>
      <w:marLeft w:val="0"/>
      <w:marRight w:val="0"/>
      <w:marTop w:val="0"/>
      <w:marBottom w:val="0"/>
      <w:divBdr>
        <w:top w:val="none" w:sz="0" w:space="0" w:color="auto"/>
        <w:left w:val="none" w:sz="0" w:space="0" w:color="auto"/>
        <w:bottom w:val="none" w:sz="0" w:space="0" w:color="auto"/>
        <w:right w:val="none" w:sz="0" w:space="0" w:color="auto"/>
      </w:divBdr>
      <w:divsChild>
        <w:div w:id="1388144615">
          <w:marLeft w:val="360"/>
          <w:marRight w:val="0"/>
          <w:marTop w:val="150"/>
          <w:marBottom w:val="0"/>
          <w:divBdr>
            <w:top w:val="none" w:sz="0" w:space="0" w:color="auto"/>
            <w:left w:val="none" w:sz="0" w:space="0" w:color="auto"/>
            <w:bottom w:val="none" w:sz="0" w:space="0" w:color="auto"/>
            <w:right w:val="none" w:sz="0" w:space="0" w:color="auto"/>
          </w:divBdr>
        </w:div>
      </w:divsChild>
    </w:div>
    <w:div w:id="1278634304">
      <w:bodyDiv w:val="1"/>
      <w:marLeft w:val="0"/>
      <w:marRight w:val="0"/>
      <w:marTop w:val="0"/>
      <w:marBottom w:val="0"/>
      <w:divBdr>
        <w:top w:val="none" w:sz="0" w:space="0" w:color="auto"/>
        <w:left w:val="none" w:sz="0" w:space="0" w:color="auto"/>
        <w:bottom w:val="none" w:sz="0" w:space="0" w:color="auto"/>
        <w:right w:val="none" w:sz="0" w:space="0" w:color="auto"/>
      </w:divBdr>
      <w:divsChild>
        <w:div w:id="1260484064">
          <w:marLeft w:val="360"/>
          <w:marRight w:val="0"/>
          <w:marTop w:val="150"/>
          <w:marBottom w:val="0"/>
          <w:divBdr>
            <w:top w:val="none" w:sz="0" w:space="0" w:color="auto"/>
            <w:left w:val="none" w:sz="0" w:space="0" w:color="auto"/>
            <w:bottom w:val="none" w:sz="0" w:space="0" w:color="auto"/>
            <w:right w:val="none" w:sz="0" w:space="0" w:color="auto"/>
          </w:divBdr>
        </w:div>
      </w:divsChild>
    </w:div>
    <w:div w:id="1519198641">
      <w:bodyDiv w:val="1"/>
      <w:marLeft w:val="0"/>
      <w:marRight w:val="0"/>
      <w:marTop w:val="0"/>
      <w:marBottom w:val="0"/>
      <w:divBdr>
        <w:top w:val="none" w:sz="0" w:space="0" w:color="auto"/>
        <w:left w:val="none" w:sz="0" w:space="0" w:color="auto"/>
        <w:bottom w:val="none" w:sz="0" w:space="0" w:color="auto"/>
        <w:right w:val="none" w:sz="0" w:space="0" w:color="auto"/>
      </w:divBdr>
      <w:divsChild>
        <w:div w:id="1782264304">
          <w:marLeft w:val="360"/>
          <w:marRight w:val="0"/>
          <w:marTop w:val="150"/>
          <w:marBottom w:val="0"/>
          <w:divBdr>
            <w:top w:val="none" w:sz="0" w:space="0" w:color="auto"/>
            <w:left w:val="none" w:sz="0" w:space="0" w:color="auto"/>
            <w:bottom w:val="none" w:sz="0" w:space="0" w:color="auto"/>
            <w:right w:val="none" w:sz="0" w:space="0" w:color="auto"/>
          </w:divBdr>
        </w:div>
      </w:divsChild>
    </w:div>
    <w:div w:id="166582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4.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customXml" Target="../customXml/item3.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6.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customXml" Target="../customXml/item5.xml" Id="rId19" /><Relationship Type="http://schemas.openxmlformats.org/officeDocument/2006/relationships/styles" Target="styles.xml" Id="rId4" /><Relationship Type="http://schemas.openxmlformats.org/officeDocument/2006/relationships/header" Target="/word/header2.xml" Id="Rfe840d018ed04a61" /><Relationship Type="http://schemas.openxmlformats.org/officeDocument/2006/relationships/footer" Target="/word/footer2.xml" Id="R1d74cced88704d07" /></Relationships>
</file>

<file path=word/_rels/header2.xml.rels>&#65279;<?xml version="1.0" encoding="utf-8"?><Relationships xmlns="http://schemas.openxmlformats.org/package/2006/relationships"><Relationship Type="http://schemas.openxmlformats.org/officeDocument/2006/relationships/image" Target="/media/image2.jpg" Id="R77c46d433e16488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itus xmlns="http://schemas.titus.com/TitusProperties/">
  <TitusGUID xmlns="">374c2e12-8b03-4bee-90b6-a85b68bf4b72</TitusGUID>
  <TitusMetadata xmlns="">eyJucyI6Imh0dHBzOlwvXC90aXR1cy5jb20iLCJwcm9wcyI6W3sibiI6IkNsYXNzaWZpY2F0aW9uIiwidmFscyI6W3sidmFsdWUiOiJLLTA0ZWU4MjZjIn1dfSx7Im4iOiJLVktLIiwidmFscyI6W3sidmFsdWUiOiJOLTJiOWVmY2E2In1dfSx7Im4iOiJWaXN1YWxNYXJraW5nIiwidmFscyI6W3sidmFsdWUiOiJBcHBseVRhZyJ9XX0seyJuIjoiU2NvcGVPZlNlY3JldCIsInZhbHMiOltdfV19</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Belge" ma:contentTypeID="0x0101007F8B4216E2C87945A253B16474A992D5" ma:contentTypeVersion="0" ma:contentTypeDescription="Yeni belge oluşturun." ma:contentTypeScope="" ma:versionID="59901e5135cc6755d7a2d1353ceb2a7f">
  <xsd:schema xmlns:xsd="http://www.w3.org/2001/XMLSchema" xmlns:xs="http://www.w3.org/2001/XMLSchema" xmlns:p="http://schemas.microsoft.com/office/2006/metadata/properties" xmlns:ns2="a1a1f3d9-7ac5-40a8-88ae-414a3a24b8a3" targetNamespace="http://schemas.microsoft.com/office/2006/metadata/properties" ma:root="true" ma:fieldsID="d7a8bb2c6f447b70fe35a83eb3e7f78a" ns2:_="">
    <xsd:import namespace="a1a1f3d9-7ac5-40a8-88ae-414a3a24b8a3"/>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1f3d9-7ac5-40a8-88ae-414a3a24b8a3"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a1a1f3d9-7ac5-40a8-88ae-414a3a24b8a3">4HPYJAZD75XJ-1435515656-215</_dlc_DocId>
    <_dlc_DocIdUrl xmlns="a1a1f3d9-7ac5-40a8-88ae-414a3a24b8a3">
      <Url>https://enspace.enpara.com/imsdocumentlibrary/_layouts/15/DocIdRedir.aspx?ID=4HPYJAZD75XJ-1435515656-215</Url>
      <Description>4HPYJAZD75XJ-1435515656-215</Description>
    </_dlc_DocIdUrl>
  </documentManagement>
</p:properties>
</file>

<file path=customXml/itemProps1.xml><?xml version="1.0" encoding="utf-8"?>
<ds:datastoreItem xmlns:ds="http://schemas.openxmlformats.org/officeDocument/2006/customXml" ds:itemID="{6722A438-91C3-4F09-80ED-63C8E92E268C}">
  <ds:schemaRefs>
    <ds:schemaRef ds:uri="http://schemas.titus.com/TitusProperties/"/>
    <ds:schemaRef ds:uri=""/>
  </ds:schemaRefs>
</ds:datastoreItem>
</file>

<file path=customXml/itemProps2.xml><?xml version="1.0" encoding="utf-8"?>
<ds:datastoreItem xmlns:ds="http://schemas.openxmlformats.org/officeDocument/2006/customXml" ds:itemID="{E007E183-8E36-40CB-B383-D836F279BC70}">
  <ds:schemaRefs>
    <ds:schemaRef ds:uri="http://schemas.openxmlformats.org/officeDocument/2006/bibliography"/>
  </ds:schemaRefs>
</ds:datastoreItem>
</file>

<file path=customXml/itemProps3.xml><?xml version="1.0" encoding="utf-8"?>
<ds:datastoreItem xmlns:ds="http://schemas.openxmlformats.org/officeDocument/2006/customXml" ds:itemID="{9F2798A8-6507-454E-85F0-411627BC00A1}"/>
</file>

<file path=customXml/itemProps4.xml><?xml version="1.0" encoding="utf-8"?>
<ds:datastoreItem xmlns:ds="http://schemas.openxmlformats.org/officeDocument/2006/customXml" ds:itemID="{AD41B755-38E6-4A62-B8BC-B39581C8597B}"/>
</file>

<file path=customXml/itemProps5.xml><?xml version="1.0" encoding="utf-8"?>
<ds:datastoreItem xmlns:ds="http://schemas.openxmlformats.org/officeDocument/2006/customXml" ds:itemID="{26ED5D70-FC2E-4202-B3E5-52F0FC29AE70}"/>
</file>

<file path=customXml/itemProps6.xml><?xml version="1.0" encoding="utf-8"?>
<ds:datastoreItem xmlns:ds="http://schemas.openxmlformats.org/officeDocument/2006/customXml" ds:itemID="{F8274561-EE41-480E-B969-CE86A11C92B8}"/>
</file>

<file path=docProps/app.xml><?xml version="1.0" encoding="utf-8"?>
<Properties xmlns="http://schemas.openxmlformats.org/officeDocument/2006/extended-properties" xmlns:vt="http://schemas.openxmlformats.org/officeDocument/2006/docPropsVTypes">
  <Template>Normal</Template>
  <TotalTime>73</TotalTime>
  <Pages>9</Pages>
  <Words>2858</Words>
  <Characters>17664</Characters>
  <Application>Microsoft Office Word</Application>
  <DocSecurity>0</DocSecurity>
  <Lines>708</Lines>
  <Paragraphs>287</Paragraphs>
  <ScaleCrop>false</ScaleCrop>
  <HeadingPairs>
    <vt:vector size="2" baseType="variant">
      <vt:variant>
        <vt:lpstr>Title</vt:lpstr>
      </vt:variant>
      <vt:variant>
        <vt:i4>1</vt:i4>
      </vt:variant>
    </vt:vector>
  </HeadingPairs>
  <TitlesOfParts>
    <vt:vector size="1" baseType="lpstr">
      <vt:lpstr/>
    </vt:vector>
  </TitlesOfParts>
  <Company>QNB</Company>
  <LinksUpToDate>false</LinksUpToDate>
  <CharactersWithSpaces>20272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Arikan Atmaca</dc:creator>
  <cp:keywords>K-04ee826c, N-2b9efca6</cp:keywords>
  <dc:description/>
  <cp:lastModifiedBy>Nilay Bal (Suistimal Kontrol)</cp:lastModifiedBy>
  <cp:revision>17</cp:revision>
  <dcterms:created xsi:type="dcterms:W3CDTF">2025-11-07T09:59:00Z</dcterms:created>
  <dcterms:modified xsi:type="dcterms:W3CDTF">2026-01-09T13:20:00Z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374c2e12-8b03-4bee-90b6-a85b68bf4b72</vt:lpwstr>
  </property>
  <property fmtid="{D5CDD505-2E9C-101B-9397-08002B2CF9AE}" pid="3" name="QNBClass">
    <vt:lpwstr>QNBCE</vt:lpwstr>
  </property>
  <property fmtid="{D5CDD505-2E9C-101B-9397-08002B2CF9AE}" pid="4" name="Classification">
    <vt:lpwstr>K-04ee826c</vt:lpwstr>
  </property>
  <property fmtid="{D5CDD505-2E9C-101B-9397-08002B2CF9AE}" pid="5" name="KVKK">
    <vt:lpwstr>N-2b9efca6</vt:lpwstr>
  </property>
  <property fmtid="{D5CDD505-2E9C-101B-9397-08002B2CF9AE}" pid="6" name="VisualMarking">
    <vt:lpwstr>ApplyTag</vt:lpwstr>
  </property>
  <property fmtid="{D5CDD505-2E9C-101B-9397-08002B2CF9AE}" pid="7" name="ContentTypeId">
    <vt:lpwstr>0x0101007F8B4216E2C87945A253B16474A992D5</vt:lpwstr>
  </property>
  <property fmtid="{D5CDD505-2E9C-101B-9397-08002B2CF9AE}" pid="8" name="_dlc_DocIdItemGuid">
    <vt:lpwstr>3cbd8abf-b675-472f-9a79-440986e2f642</vt:lpwstr>
  </property>
</Properties>
</file>